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1476" w:rsidRPr="00F64CF5" w:rsidRDefault="000A5102" w:rsidP="00561476">
      <w:pPr>
        <w:jc w:val="center"/>
        <w:rPr>
          <w:b/>
          <w:sz w:val="36"/>
          <w:szCs w:val="36"/>
        </w:rPr>
      </w:pPr>
      <w:r>
        <w:rPr>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4pt;height:186.35pt;mso-width-percent:0;mso-height-percent:0;mso-width-percent:0;mso-height-percent:0">
            <v:imagedata r:id="rId7" o:title="Новый логотип1"/>
          </v:shape>
        </w:pict>
      </w:r>
    </w:p>
    <w:p w:rsidR="00561476" w:rsidRPr="00F64CF5" w:rsidRDefault="00561476" w:rsidP="00561476">
      <w:pPr>
        <w:jc w:val="center"/>
        <w:rPr>
          <w:b/>
          <w:sz w:val="36"/>
          <w:szCs w:val="36"/>
          <w:lang w:val="en-US"/>
        </w:rPr>
      </w:pPr>
    </w:p>
    <w:p w:rsidR="000A4DD6" w:rsidRPr="00F64CF5" w:rsidRDefault="000A4DD6" w:rsidP="00561476">
      <w:pPr>
        <w:jc w:val="center"/>
        <w:rPr>
          <w:b/>
          <w:sz w:val="36"/>
          <w:szCs w:val="36"/>
          <w:lang w:val="en-US"/>
        </w:rPr>
      </w:pPr>
    </w:p>
    <w:p w:rsidR="000A4DD6" w:rsidRPr="00F64CF5" w:rsidRDefault="000A4DD6" w:rsidP="00561476">
      <w:pPr>
        <w:jc w:val="center"/>
        <w:rPr>
          <w:b/>
          <w:sz w:val="36"/>
          <w:szCs w:val="36"/>
          <w:lang w:val="en-US"/>
        </w:rPr>
      </w:pPr>
    </w:p>
    <w:p w:rsidR="000A4DD6" w:rsidRPr="00F64CF5" w:rsidRDefault="000A4DD6" w:rsidP="00561476">
      <w:pPr>
        <w:jc w:val="center"/>
        <w:rPr>
          <w:b/>
          <w:sz w:val="36"/>
          <w:szCs w:val="36"/>
          <w:lang w:val="en-US"/>
        </w:rPr>
      </w:pPr>
    </w:p>
    <w:p w:rsidR="00561476" w:rsidRPr="00F64CF5" w:rsidRDefault="00561476" w:rsidP="00561476">
      <w:pPr>
        <w:tabs>
          <w:tab w:val="left" w:pos="5204"/>
        </w:tabs>
        <w:jc w:val="left"/>
        <w:rPr>
          <w:b/>
          <w:sz w:val="36"/>
          <w:szCs w:val="36"/>
        </w:rPr>
      </w:pPr>
      <w:r w:rsidRPr="00F64CF5">
        <w:rPr>
          <w:b/>
          <w:sz w:val="36"/>
          <w:szCs w:val="36"/>
        </w:rPr>
        <w:tab/>
      </w:r>
    </w:p>
    <w:p w:rsidR="00561476" w:rsidRPr="00F64CF5" w:rsidRDefault="00561476" w:rsidP="00561476">
      <w:pPr>
        <w:jc w:val="center"/>
        <w:rPr>
          <w:b/>
          <w:sz w:val="36"/>
          <w:szCs w:val="36"/>
        </w:rPr>
      </w:pPr>
    </w:p>
    <w:p w:rsidR="00561476" w:rsidRPr="00F64CF5" w:rsidRDefault="00CB76D2" w:rsidP="00561476">
      <w:pPr>
        <w:jc w:val="center"/>
        <w:rPr>
          <w:b/>
          <w:sz w:val="48"/>
          <w:szCs w:val="48"/>
        </w:rPr>
      </w:pPr>
      <w:bookmarkStart w:id="0" w:name="_Toc226196784"/>
      <w:bookmarkStart w:id="1" w:name="_Toc226197203"/>
      <w:r w:rsidRPr="00F64CF5">
        <w:rPr>
          <w:b/>
          <w:sz w:val="48"/>
          <w:szCs w:val="48"/>
        </w:rPr>
        <w:t>М</w:t>
      </w:r>
      <w:r w:rsidR="00561476" w:rsidRPr="00F64CF5">
        <w:rPr>
          <w:b/>
          <w:sz w:val="48"/>
          <w:szCs w:val="48"/>
        </w:rPr>
        <w:t>ониторинг СМИ</w:t>
      </w:r>
      <w:bookmarkEnd w:id="0"/>
      <w:bookmarkEnd w:id="1"/>
      <w:r w:rsidR="00561476" w:rsidRPr="00F64CF5">
        <w:rPr>
          <w:b/>
          <w:sz w:val="48"/>
          <w:szCs w:val="48"/>
        </w:rPr>
        <w:t xml:space="preserve"> РФ</w:t>
      </w:r>
    </w:p>
    <w:p w:rsidR="00561476" w:rsidRPr="00F64CF5" w:rsidRDefault="00561476" w:rsidP="00561476">
      <w:pPr>
        <w:jc w:val="center"/>
        <w:rPr>
          <w:b/>
          <w:sz w:val="48"/>
          <w:szCs w:val="48"/>
        </w:rPr>
      </w:pPr>
      <w:bookmarkStart w:id="2" w:name="_Toc226196785"/>
      <w:bookmarkStart w:id="3" w:name="_Toc226197204"/>
      <w:r w:rsidRPr="00F64CF5">
        <w:rPr>
          <w:b/>
          <w:sz w:val="48"/>
          <w:szCs w:val="48"/>
        </w:rPr>
        <w:t>по пенсионной тематике</w:t>
      </w:r>
      <w:bookmarkEnd w:id="2"/>
      <w:bookmarkEnd w:id="3"/>
    </w:p>
    <w:p w:rsidR="008B6D1B" w:rsidRPr="00F64CF5" w:rsidRDefault="008B6D1B" w:rsidP="00C70A20">
      <w:pPr>
        <w:jc w:val="center"/>
        <w:rPr>
          <w:b/>
          <w:sz w:val="48"/>
          <w:szCs w:val="48"/>
        </w:rPr>
      </w:pPr>
    </w:p>
    <w:p w:rsidR="007D6FE5" w:rsidRPr="00F64CF5" w:rsidRDefault="007D6FE5" w:rsidP="00C70A20">
      <w:pPr>
        <w:jc w:val="center"/>
        <w:rPr>
          <w:b/>
          <w:sz w:val="36"/>
          <w:szCs w:val="36"/>
        </w:rPr>
      </w:pPr>
      <w:r w:rsidRPr="00F64CF5">
        <w:rPr>
          <w:b/>
          <w:sz w:val="36"/>
          <w:szCs w:val="36"/>
        </w:rPr>
        <w:t xml:space="preserve"> </w:t>
      </w:r>
    </w:p>
    <w:p w:rsidR="00C70A20" w:rsidRPr="00F64CF5" w:rsidRDefault="00906980" w:rsidP="00C70A20">
      <w:pPr>
        <w:jc w:val="center"/>
        <w:rPr>
          <w:b/>
          <w:sz w:val="40"/>
          <w:szCs w:val="40"/>
        </w:rPr>
      </w:pPr>
      <w:r w:rsidRPr="00F64CF5">
        <w:rPr>
          <w:b/>
          <w:sz w:val="40"/>
          <w:szCs w:val="40"/>
        </w:rPr>
        <w:t>0</w:t>
      </w:r>
      <w:r w:rsidR="00764C15" w:rsidRPr="00F64CF5">
        <w:rPr>
          <w:b/>
          <w:sz w:val="40"/>
          <w:szCs w:val="40"/>
          <w:lang w:val="en-US"/>
        </w:rPr>
        <w:t>8</w:t>
      </w:r>
      <w:r w:rsidR="00CB6B64" w:rsidRPr="00F64CF5">
        <w:rPr>
          <w:b/>
          <w:sz w:val="40"/>
          <w:szCs w:val="40"/>
        </w:rPr>
        <w:t>.</w:t>
      </w:r>
      <w:r w:rsidR="00C8666E" w:rsidRPr="00F64CF5">
        <w:rPr>
          <w:b/>
          <w:sz w:val="40"/>
          <w:szCs w:val="40"/>
        </w:rPr>
        <w:t>0</w:t>
      </w:r>
      <w:r w:rsidRPr="00F64CF5">
        <w:rPr>
          <w:b/>
          <w:sz w:val="40"/>
          <w:szCs w:val="40"/>
        </w:rPr>
        <w:t>8</w:t>
      </w:r>
      <w:r w:rsidR="000214CF" w:rsidRPr="00F64CF5">
        <w:rPr>
          <w:b/>
          <w:sz w:val="40"/>
          <w:szCs w:val="40"/>
        </w:rPr>
        <w:t>.</w:t>
      </w:r>
      <w:r w:rsidR="007D6FE5" w:rsidRPr="00F64CF5">
        <w:rPr>
          <w:b/>
          <w:sz w:val="40"/>
          <w:szCs w:val="40"/>
        </w:rPr>
        <w:t>20</w:t>
      </w:r>
      <w:r w:rsidR="00EB57E7" w:rsidRPr="00F64CF5">
        <w:rPr>
          <w:b/>
          <w:sz w:val="40"/>
          <w:szCs w:val="40"/>
        </w:rPr>
        <w:t>2</w:t>
      </w:r>
      <w:r w:rsidR="00C8666E" w:rsidRPr="00F64CF5">
        <w:rPr>
          <w:b/>
          <w:sz w:val="40"/>
          <w:szCs w:val="40"/>
        </w:rPr>
        <w:t>5</w:t>
      </w:r>
      <w:r w:rsidR="00C70A20" w:rsidRPr="00F64CF5">
        <w:rPr>
          <w:b/>
          <w:sz w:val="40"/>
          <w:szCs w:val="40"/>
        </w:rPr>
        <w:t xml:space="preserve"> г</w:t>
      </w:r>
      <w:r w:rsidR="007D6FE5" w:rsidRPr="00F64CF5">
        <w:rPr>
          <w:b/>
          <w:sz w:val="40"/>
          <w:szCs w:val="40"/>
        </w:rPr>
        <w:t>.</w:t>
      </w:r>
    </w:p>
    <w:p w:rsidR="007D6FE5" w:rsidRPr="00F64CF5" w:rsidRDefault="007D6FE5" w:rsidP="000C1A46">
      <w:pPr>
        <w:jc w:val="center"/>
        <w:rPr>
          <w:b/>
          <w:sz w:val="40"/>
          <w:szCs w:val="40"/>
        </w:rPr>
      </w:pPr>
    </w:p>
    <w:p w:rsidR="00C16C6D" w:rsidRPr="00F64CF5" w:rsidRDefault="00C16C6D" w:rsidP="000C1A46">
      <w:pPr>
        <w:jc w:val="center"/>
        <w:rPr>
          <w:b/>
          <w:sz w:val="40"/>
          <w:szCs w:val="40"/>
        </w:rPr>
      </w:pPr>
    </w:p>
    <w:p w:rsidR="00C70A20" w:rsidRPr="00F64CF5" w:rsidRDefault="00C70A20" w:rsidP="000C1A46">
      <w:pPr>
        <w:jc w:val="center"/>
        <w:rPr>
          <w:b/>
          <w:sz w:val="40"/>
          <w:szCs w:val="40"/>
        </w:rPr>
      </w:pPr>
    </w:p>
    <w:p w:rsidR="00C70A20" w:rsidRPr="00F64CF5" w:rsidRDefault="00C70A20" w:rsidP="000C1A46">
      <w:pPr>
        <w:jc w:val="center"/>
      </w:pPr>
    </w:p>
    <w:p w:rsidR="00CB76D2" w:rsidRPr="00F64CF5" w:rsidRDefault="00CB76D2" w:rsidP="000C1A46">
      <w:pPr>
        <w:jc w:val="center"/>
        <w:rPr>
          <w:b/>
          <w:sz w:val="40"/>
          <w:szCs w:val="40"/>
        </w:rPr>
      </w:pPr>
    </w:p>
    <w:p w:rsidR="009D66A1" w:rsidRPr="00F64CF5" w:rsidRDefault="009B23FE" w:rsidP="009B23FE">
      <w:pPr>
        <w:pStyle w:val="Heading1"/>
        <w:jc w:val="center"/>
      </w:pPr>
      <w:r w:rsidRPr="00F64CF5">
        <w:br w:type="page"/>
      </w:r>
      <w:bookmarkStart w:id="4" w:name="_Toc396864626"/>
      <w:bookmarkStart w:id="5" w:name="_Toc205532844"/>
      <w:r w:rsidR="009D79CC" w:rsidRPr="00F64CF5">
        <w:lastRenderedPageBreak/>
        <w:t>Те</w:t>
      </w:r>
      <w:r w:rsidR="009D66A1" w:rsidRPr="00F64CF5">
        <w:t>мы</w:t>
      </w:r>
      <w:r w:rsidR="009D66A1" w:rsidRPr="00F64CF5">
        <w:rPr>
          <w:rFonts w:ascii="Arial Rounded MT Bold" w:hAnsi="Arial Rounded MT Bold"/>
        </w:rPr>
        <w:t xml:space="preserve"> </w:t>
      </w:r>
      <w:r w:rsidR="009D66A1" w:rsidRPr="00F64CF5">
        <w:t>дня</w:t>
      </w:r>
      <w:bookmarkEnd w:id="4"/>
      <w:bookmarkEnd w:id="5"/>
    </w:p>
    <w:p w:rsidR="00A1463C" w:rsidRPr="00F64CF5" w:rsidRDefault="00E7563E" w:rsidP="00676D5F">
      <w:pPr>
        <w:numPr>
          <w:ilvl w:val="0"/>
          <w:numId w:val="25"/>
        </w:numPr>
        <w:rPr>
          <w:i/>
        </w:rPr>
      </w:pPr>
      <w:r w:rsidRPr="00F64CF5">
        <w:rPr>
          <w:i/>
        </w:rPr>
        <w:t xml:space="preserve">С 1 августа 2025 года размер накопительной пенсии и срочной пенсионной выплаты клиентов НПФ «ПЕРСПЕКТИВА» вырос в среднем на 12,8%. Узнать новый размер установленной выплаты, отслеживать состояние пенсионного счёта, а также подключить дополнительный инструмент для формирования накоплений (индивидуальный пенсионный план) клиенты фонда могут в Личном кабинете НПФ «ПЕРСПЕКТИВА», </w:t>
      </w:r>
      <w:hyperlink w:anchor="a1" w:history="1">
        <w:r w:rsidRPr="00F64CF5">
          <w:rPr>
            <w:rStyle w:val="Hyperlink"/>
            <w:i/>
          </w:rPr>
          <w:t>пишет «Ваш Пенсионный Брокер»</w:t>
        </w:r>
      </w:hyperlink>
    </w:p>
    <w:p w:rsidR="00E7563E" w:rsidRPr="00F64CF5" w:rsidRDefault="00E7563E" w:rsidP="00676D5F">
      <w:pPr>
        <w:numPr>
          <w:ilvl w:val="0"/>
          <w:numId w:val="25"/>
        </w:numPr>
        <w:rPr>
          <w:i/>
        </w:rPr>
      </w:pPr>
      <w:r w:rsidRPr="00F64CF5">
        <w:rPr>
          <w:i/>
        </w:rPr>
        <w:t xml:space="preserve">АО НПФ ПСБ представил отчетность за первое полугодие 2025 года в Банк России. Доходность размещения пенсионных резервов — средств клиентов по договорам долгосрочных сбережений (программа ПДС) и пенсионным договорам на 30.06.2025 составила 21,51% годовых. Доходность инвестирования пенсионных накоплений — средств, сформированных по договорам об обязательном пенсионном страховании — составила 20,80% годовых. Активы фонда за первое полугодие выросли на 21% и составили 16,2 млрд рублей, пенсионные резервы — 11,7 млрд рублей, пенсионные накопления — 3,9 млрд. рублей, </w:t>
      </w:r>
      <w:hyperlink w:anchor="a2" w:history="1">
        <w:r w:rsidRPr="00F64CF5">
          <w:rPr>
            <w:rStyle w:val="Hyperlink"/>
            <w:i/>
          </w:rPr>
          <w:t>передает «Ваш Пенсионный Брокер»</w:t>
        </w:r>
      </w:hyperlink>
    </w:p>
    <w:p w:rsidR="00E7563E" w:rsidRPr="00C563EE" w:rsidRDefault="00E7563E" w:rsidP="00676D5F">
      <w:pPr>
        <w:numPr>
          <w:ilvl w:val="0"/>
          <w:numId w:val="25"/>
        </w:numPr>
        <w:rPr>
          <w:rStyle w:val="Hyperlink"/>
          <w:i/>
          <w:color w:val="auto"/>
          <w:u w:val="none"/>
        </w:rPr>
      </w:pPr>
      <w:r w:rsidRPr="00F64CF5">
        <w:rPr>
          <w:i/>
        </w:rPr>
        <w:t xml:space="preserve">НПФ Эволюция опубликовал бухгалтерскую (финансовую) отчетность по итогам I полугодия 2025 года. Объем активов фонда за второй квартал увеличился на 23 млрд и на конец июня 2025 года достиг 455 млрд рублей. Динамика показывает, что фонд в течение длительного времени планомерно наращивает активы, удерживает ведущие позиции в своей сфере. Сумма обязательств НПФ с учетом корректировок по МСФО 17 составила 383 млрд рублей, это выше данных первого квартала на 5% (364 млрд рублей). При этом уменьшилась сумма обязательств в рамках договоров обязательного пенсионного страхования на 10% и по итогам I полугодия 2025 года этот показатель составил 184 млрд. рублей, </w:t>
      </w:r>
      <w:hyperlink w:anchor="a3" w:history="1">
        <w:r w:rsidRPr="00F64CF5">
          <w:rPr>
            <w:rStyle w:val="Hyperlink"/>
            <w:i/>
          </w:rPr>
          <w:t>сообщает «ЭкоГрад»</w:t>
        </w:r>
      </w:hyperlink>
    </w:p>
    <w:p w:rsidR="00C563EE" w:rsidRPr="00F64CF5" w:rsidRDefault="00C563EE" w:rsidP="00676D5F">
      <w:pPr>
        <w:numPr>
          <w:ilvl w:val="0"/>
          <w:numId w:val="25"/>
        </w:numPr>
        <w:rPr>
          <w:i/>
        </w:rPr>
      </w:pPr>
      <w:r w:rsidRPr="00C563EE">
        <w:rPr>
          <w:i/>
        </w:rPr>
        <w:t xml:space="preserve"> </w:t>
      </w:r>
      <w:r w:rsidRPr="00C563EE">
        <w:rPr>
          <w:i/>
        </w:rPr>
        <w:t>Подавляющее большинство россиян (77%) не разбираются в формировании своих пенсионных накоплений и не интересуются этой темой, следует из совместного исследования негосударственного пенсионного фонда (НПФ) "Достойное будущее" и Финансового университета</w:t>
      </w:r>
      <w:r w:rsidR="00F269E2" w:rsidRPr="00F269E2">
        <w:rPr>
          <w:i/>
        </w:rPr>
        <w:t>.</w:t>
      </w:r>
      <w:r w:rsidRPr="00C563EE">
        <w:rPr>
          <w:i/>
        </w:rPr>
        <w:t xml:space="preserve"> По этим причинам, говорится в исследовании, россияне не особо мотивированы совершать активные действия со своими накоплениями или переводить их в программу долгосрочных сбережений (ПДС)</w:t>
      </w:r>
      <w:r w:rsidRPr="00C563EE">
        <w:rPr>
          <w:i/>
        </w:rPr>
        <w:t xml:space="preserve">, </w:t>
      </w:r>
      <w:hyperlink w:anchor="_Ведомости,_08.08.2025,_Большинство" w:history="1">
        <w:r w:rsidRPr="00C563EE">
          <w:rPr>
            <w:rStyle w:val="Hyperlink"/>
            <w:i/>
          </w:rPr>
          <w:t>пишут «Ведомости»</w:t>
        </w:r>
      </w:hyperlink>
    </w:p>
    <w:p w:rsidR="00E7563E" w:rsidRPr="00F64CF5" w:rsidRDefault="00E7563E" w:rsidP="00676D5F">
      <w:pPr>
        <w:numPr>
          <w:ilvl w:val="0"/>
          <w:numId w:val="25"/>
        </w:numPr>
        <w:rPr>
          <w:i/>
        </w:rPr>
      </w:pPr>
      <w:r w:rsidRPr="00F64CF5">
        <w:rPr>
          <w:i/>
        </w:rPr>
        <w:t xml:space="preserve">К выходу на пенсию в России стоит готовиться заранее – выплат от государства может хватить лишь на базовые потребности. Какие есть способы накопить на пенсию на фондовом рынке? Стоит ли участвовать в программе долгосрочных сбережений (ПДС), запущенной в 2024 году? Какие еще доступны инструменты? Как сформировать портфель, если вы хотите накопить на пенсию с помощью инвестиций самостоятельно, какие риски необходимо учитывать? </w:t>
      </w:r>
      <w:hyperlink w:anchor="a4" w:history="1">
        <w:r w:rsidRPr="00F64CF5">
          <w:rPr>
            <w:rStyle w:val="Hyperlink"/>
            <w:i/>
          </w:rPr>
          <w:t>Finam.ru узнал мнения экспертов</w:t>
        </w:r>
      </w:hyperlink>
      <w:r w:rsidRPr="00F64CF5">
        <w:rPr>
          <w:i/>
        </w:rPr>
        <w:t>. Кроме того, мы собрали несколько вопросов о том, насколько инвесторы финансово подготовлены к будущему</w:t>
      </w:r>
    </w:p>
    <w:p w:rsidR="00E7563E" w:rsidRPr="00F64CF5" w:rsidRDefault="00EF453E" w:rsidP="00676D5F">
      <w:pPr>
        <w:numPr>
          <w:ilvl w:val="0"/>
          <w:numId w:val="25"/>
        </w:numPr>
        <w:rPr>
          <w:i/>
        </w:rPr>
      </w:pPr>
      <w:r w:rsidRPr="00F64CF5">
        <w:rPr>
          <w:i/>
        </w:rPr>
        <w:lastRenderedPageBreak/>
        <w:t xml:space="preserve">Чтобы узнать, какой будет будущая страховая пенсия по старости, лучше воспользоваться специальной формулой и данными из выписки из лицевого счёта. Об этом рассказал портал «Госуслуги» в своём официальном Telegram-канале. Страховая пенсия по старости состоит из двух частей: основной страховой выплаты и фиксированной выплаты, которая добавляется к ней, </w:t>
      </w:r>
      <w:hyperlink w:anchor="a5" w:history="1">
        <w:r w:rsidRPr="00F64CF5">
          <w:rPr>
            <w:rStyle w:val="Hyperlink"/>
            <w:i/>
          </w:rPr>
          <w:t>пишет «СенатИнформ»</w:t>
        </w:r>
      </w:hyperlink>
    </w:p>
    <w:p w:rsidR="00EF453E" w:rsidRPr="00F64CF5" w:rsidRDefault="00EF453E" w:rsidP="00676D5F">
      <w:pPr>
        <w:numPr>
          <w:ilvl w:val="0"/>
          <w:numId w:val="25"/>
        </w:numPr>
        <w:rPr>
          <w:i/>
        </w:rPr>
      </w:pPr>
      <w:r w:rsidRPr="00F64CF5">
        <w:rPr>
          <w:i/>
        </w:rPr>
        <w:t xml:space="preserve">Численность пенсионеров в России на 1 июля 2025 года достигла 40,8 млн человек, свидетельствуют данные Соцфонда, имеющиеся в распоряжении «РИА Новости». За I полугодие показатель сократился: в начале года на учете состояло почти 41,2 млн граждан. Более 7,6 млн россиян продолжают работать после выхода на пенсию. Пенсии по инвалидности получают почти 2,3 млн человек, по потере кормильца — около 1,45 млн, </w:t>
      </w:r>
      <w:hyperlink w:anchor="a6" w:history="1">
        <w:r w:rsidRPr="00F64CF5">
          <w:rPr>
            <w:rStyle w:val="Hyperlink"/>
            <w:i/>
          </w:rPr>
          <w:t>сообщает «Коммерсантъ»</w:t>
        </w:r>
      </w:hyperlink>
    </w:p>
    <w:p w:rsidR="00940029" w:rsidRPr="00F64CF5" w:rsidRDefault="009D79CC" w:rsidP="00940029">
      <w:pPr>
        <w:pStyle w:val="Heading1"/>
        <w:jc w:val="center"/>
      </w:pPr>
      <w:bookmarkStart w:id="6" w:name="_Toc173015209"/>
      <w:bookmarkStart w:id="7" w:name="_Toc205532845"/>
      <w:r w:rsidRPr="00F64CF5">
        <w:t>Ци</w:t>
      </w:r>
      <w:r w:rsidR="00940029" w:rsidRPr="00F64CF5">
        <w:t>таты дня</w:t>
      </w:r>
      <w:bookmarkEnd w:id="6"/>
      <w:bookmarkEnd w:id="7"/>
    </w:p>
    <w:p w:rsidR="00676D5F" w:rsidRPr="00F64CF5" w:rsidRDefault="00E7563E" w:rsidP="003B3BAA">
      <w:pPr>
        <w:numPr>
          <w:ilvl w:val="0"/>
          <w:numId w:val="27"/>
        </w:numPr>
        <w:rPr>
          <w:i/>
        </w:rPr>
      </w:pPr>
      <w:r w:rsidRPr="00F64CF5">
        <w:rPr>
          <w:i/>
        </w:rPr>
        <w:t>Александр Присяжнюк, директор инвестиционного департамента «РСХБ Управление Активами»: «Пенсионные накопления — одна из важных финансовых задач. Государственная пенсия часто оказывается недостаточной для комфортной жизни. Так, средняя пенсия по итогам 2024 года в России составила 20 тысяч рублей. Чем раньше вы начнете инвестировать, тем больше сможете накопить. Оптимальный размер пенсионного капитала зависит от вашего образа жизни и привычек. Перед началом планирования важно определить желаемую ежемесячную сумму, сколько лет вам осталось до пенсии и оценить, какую сумму в месяц вы готовы инвестировать»</w:t>
      </w:r>
    </w:p>
    <w:p w:rsidR="00E7563E" w:rsidRPr="00F64CF5" w:rsidRDefault="00EF453E" w:rsidP="003B3BAA">
      <w:pPr>
        <w:numPr>
          <w:ilvl w:val="0"/>
          <w:numId w:val="27"/>
        </w:numPr>
        <w:rPr>
          <w:i/>
        </w:rPr>
      </w:pPr>
      <w:r w:rsidRPr="00F64CF5">
        <w:rPr>
          <w:i/>
        </w:rPr>
        <w:t>Ярослав Кабаков, директор по стратегии «Финама»: «Доходность ПДС в среднем составляет 8-10% годовых, что сопоставимо с результатами НПФ и банковских вкладов. Однако программа имеет и недостатки — средства блокируются на долгий срок (обычно 15 лет или до достижения пенсионного возраста), досрочно их можно изъять только в исключительных случаях. При этом участник не управляет вложениями самостоятельно, что не устраивает более активных инвесторов. Программа подходит тем, кто хочет копить с господдержкой и не готов заниматься инвестициями вручную»</w:t>
      </w:r>
    </w:p>
    <w:p w:rsidR="00EF453E" w:rsidRPr="00F64CF5" w:rsidRDefault="00EF453E" w:rsidP="003B3BAA">
      <w:pPr>
        <w:numPr>
          <w:ilvl w:val="0"/>
          <w:numId w:val="27"/>
        </w:numPr>
        <w:rPr>
          <w:i/>
        </w:rPr>
      </w:pPr>
      <w:r w:rsidRPr="00F64CF5">
        <w:rPr>
          <w:i/>
        </w:rPr>
        <w:t>Дина Гильмиярова, шеф-редактор InvestFuture: «Основной минус ПДС — ограниченная ликвидность. Вы не сможете воспользоваться деньгами минимум 15 лет либо до выхода на пенсию. Программа содержит множество нюансов, в которых важно разобраться до вступления. На мой взгляд, если ИИС-3 подходит широкому кругу инвесторов, то ПДС — скорее инструмент социальной поддержки и подходит не всем. Он может быть особенно выгоден людям с доходом ниже 80 тысяч рублей в месяц или тем, кому до пенсии осталось менее 10 лет»</w:t>
      </w:r>
    </w:p>
    <w:p w:rsidR="00A0290C" w:rsidRPr="00F64CF5" w:rsidRDefault="00A0290C" w:rsidP="009D66A1">
      <w:pPr>
        <w:pStyle w:val="a2"/>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F64CF5">
        <w:rPr>
          <w:u w:val="single"/>
        </w:rPr>
        <w:lastRenderedPageBreak/>
        <w:t>ОГЛАВЛЕНИЕ</w:t>
      </w:r>
    </w:p>
    <w:p w:rsidR="009B3F42" w:rsidRDefault="0099337B">
      <w:pPr>
        <w:pStyle w:val="TOC1"/>
        <w:tabs>
          <w:tab w:val="right" w:leader="dot" w:pos="9061"/>
        </w:tabs>
        <w:rPr>
          <w:rFonts w:ascii="Calibri" w:hAnsi="Calibri"/>
          <w:b w:val="0"/>
          <w:noProof/>
          <w:kern w:val="2"/>
          <w:sz w:val="24"/>
          <w:lang w:val="en-RU" w:eastAsia="en-GB"/>
        </w:rPr>
      </w:pPr>
      <w:r w:rsidRPr="00F64CF5">
        <w:rPr>
          <w:caps/>
        </w:rPr>
        <w:fldChar w:fldCharType="begin"/>
      </w:r>
      <w:r w:rsidR="00310633" w:rsidRPr="00F64CF5">
        <w:rPr>
          <w:caps/>
        </w:rPr>
        <w:instrText xml:space="preserve"> TOC \o "1-5" \h \z \u </w:instrText>
      </w:r>
      <w:r w:rsidRPr="00F64CF5">
        <w:rPr>
          <w:caps/>
        </w:rPr>
        <w:fldChar w:fldCharType="separate"/>
      </w:r>
      <w:hyperlink w:anchor="_Toc205532844" w:history="1">
        <w:r w:rsidR="009B3F42" w:rsidRPr="007302DE">
          <w:rPr>
            <w:rStyle w:val="Hyperlink"/>
            <w:noProof/>
          </w:rPr>
          <w:t>Темы</w:t>
        </w:r>
        <w:r w:rsidR="009B3F42" w:rsidRPr="007302DE">
          <w:rPr>
            <w:rStyle w:val="Hyperlink"/>
            <w:rFonts w:ascii="Arial Rounded MT Bold" w:hAnsi="Arial Rounded MT Bold"/>
            <w:noProof/>
          </w:rPr>
          <w:t xml:space="preserve"> </w:t>
        </w:r>
        <w:r w:rsidR="009B3F42" w:rsidRPr="007302DE">
          <w:rPr>
            <w:rStyle w:val="Hyperlink"/>
            <w:noProof/>
          </w:rPr>
          <w:t>дня</w:t>
        </w:r>
        <w:r w:rsidR="009B3F42">
          <w:rPr>
            <w:noProof/>
            <w:webHidden/>
          </w:rPr>
          <w:tab/>
        </w:r>
        <w:r w:rsidR="009B3F42">
          <w:rPr>
            <w:noProof/>
            <w:webHidden/>
          </w:rPr>
          <w:fldChar w:fldCharType="begin"/>
        </w:r>
        <w:r w:rsidR="009B3F42">
          <w:rPr>
            <w:noProof/>
            <w:webHidden/>
          </w:rPr>
          <w:instrText xml:space="preserve"> PAGEREF _Toc205532844 \h </w:instrText>
        </w:r>
        <w:r w:rsidR="009B3F42">
          <w:rPr>
            <w:noProof/>
            <w:webHidden/>
          </w:rPr>
        </w:r>
        <w:r w:rsidR="009B3F42">
          <w:rPr>
            <w:noProof/>
            <w:webHidden/>
          </w:rPr>
          <w:fldChar w:fldCharType="separate"/>
        </w:r>
        <w:r w:rsidR="009B3F42">
          <w:rPr>
            <w:noProof/>
            <w:webHidden/>
          </w:rPr>
          <w:t>2</w:t>
        </w:r>
        <w:r w:rsidR="009B3F42">
          <w:rPr>
            <w:noProof/>
            <w:webHidden/>
          </w:rPr>
          <w:fldChar w:fldCharType="end"/>
        </w:r>
      </w:hyperlink>
    </w:p>
    <w:p w:rsidR="009B3F42" w:rsidRDefault="009B3F42">
      <w:pPr>
        <w:pStyle w:val="TOC1"/>
        <w:tabs>
          <w:tab w:val="right" w:leader="dot" w:pos="9061"/>
        </w:tabs>
        <w:rPr>
          <w:rFonts w:ascii="Calibri" w:hAnsi="Calibri"/>
          <w:b w:val="0"/>
          <w:noProof/>
          <w:kern w:val="2"/>
          <w:sz w:val="24"/>
          <w:lang w:val="en-RU" w:eastAsia="en-GB"/>
        </w:rPr>
      </w:pPr>
      <w:hyperlink w:anchor="_Toc205532845" w:history="1">
        <w:r w:rsidRPr="007302DE">
          <w:rPr>
            <w:rStyle w:val="Hyperlink"/>
            <w:noProof/>
          </w:rPr>
          <w:t>Цитаты дня</w:t>
        </w:r>
        <w:r>
          <w:rPr>
            <w:noProof/>
            <w:webHidden/>
          </w:rPr>
          <w:tab/>
        </w:r>
        <w:r>
          <w:rPr>
            <w:noProof/>
            <w:webHidden/>
          </w:rPr>
          <w:fldChar w:fldCharType="begin"/>
        </w:r>
        <w:r>
          <w:rPr>
            <w:noProof/>
            <w:webHidden/>
          </w:rPr>
          <w:instrText xml:space="preserve"> PAGEREF _Toc205532845 \h </w:instrText>
        </w:r>
        <w:r>
          <w:rPr>
            <w:noProof/>
            <w:webHidden/>
          </w:rPr>
        </w:r>
        <w:r>
          <w:rPr>
            <w:noProof/>
            <w:webHidden/>
          </w:rPr>
          <w:fldChar w:fldCharType="separate"/>
        </w:r>
        <w:r>
          <w:rPr>
            <w:noProof/>
            <w:webHidden/>
          </w:rPr>
          <w:t>3</w:t>
        </w:r>
        <w:r>
          <w:rPr>
            <w:noProof/>
            <w:webHidden/>
          </w:rPr>
          <w:fldChar w:fldCharType="end"/>
        </w:r>
      </w:hyperlink>
    </w:p>
    <w:p w:rsidR="009B3F42" w:rsidRDefault="009B3F42">
      <w:pPr>
        <w:pStyle w:val="TOC1"/>
        <w:tabs>
          <w:tab w:val="right" w:leader="dot" w:pos="9061"/>
        </w:tabs>
        <w:rPr>
          <w:rFonts w:ascii="Calibri" w:hAnsi="Calibri"/>
          <w:b w:val="0"/>
          <w:noProof/>
          <w:kern w:val="2"/>
          <w:sz w:val="24"/>
          <w:lang w:val="en-RU" w:eastAsia="en-GB"/>
        </w:rPr>
      </w:pPr>
      <w:hyperlink w:anchor="_Toc205532846" w:history="1">
        <w:r w:rsidRPr="007302DE">
          <w:rPr>
            <w:rStyle w:val="Hyperlink"/>
            <w:noProof/>
          </w:rPr>
          <w:t>НОВОСТИ ПЕНСИОННОЙ ОТРАСЛИ</w:t>
        </w:r>
        <w:r>
          <w:rPr>
            <w:noProof/>
            <w:webHidden/>
          </w:rPr>
          <w:tab/>
        </w:r>
        <w:r>
          <w:rPr>
            <w:noProof/>
            <w:webHidden/>
          </w:rPr>
          <w:fldChar w:fldCharType="begin"/>
        </w:r>
        <w:r>
          <w:rPr>
            <w:noProof/>
            <w:webHidden/>
          </w:rPr>
          <w:instrText xml:space="preserve"> PAGEREF _Toc205532846 \h </w:instrText>
        </w:r>
        <w:r>
          <w:rPr>
            <w:noProof/>
            <w:webHidden/>
          </w:rPr>
        </w:r>
        <w:r>
          <w:rPr>
            <w:noProof/>
            <w:webHidden/>
          </w:rPr>
          <w:fldChar w:fldCharType="separate"/>
        </w:r>
        <w:r>
          <w:rPr>
            <w:noProof/>
            <w:webHidden/>
          </w:rPr>
          <w:t>11</w:t>
        </w:r>
        <w:r>
          <w:rPr>
            <w:noProof/>
            <w:webHidden/>
          </w:rPr>
          <w:fldChar w:fldCharType="end"/>
        </w:r>
      </w:hyperlink>
    </w:p>
    <w:p w:rsidR="009B3F42" w:rsidRDefault="009B3F42">
      <w:pPr>
        <w:pStyle w:val="TOC1"/>
        <w:tabs>
          <w:tab w:val="right" w:leader="dot" w:pos="9061"/>
        </w:tabs>
        <w:rPr>
          <w:rFonts w:ascii="Calibri" w:hAnsi="Calibri"/>
          <w:b w:val="0"/>
          <w:noProof/>
          <w:kern w:val="2"/>
          <w:sz w:val="24"/>
          <w:lang w:val="en-RU" w:eastAsia="en-GB"/>
        </w:rPr>
      </w:pPr>
      <w:hyperlink w:anchor="_Toc205532847" w:history="1">
        <w:r w:rsidRPr="007302DE">
          <w:rPr>
            <w:rStyle w:val="Hyperlink"/>
            <w:noProof/>
          </w:rPr>
          <w:t>Новости отрасли НПФ</w:t>
        </w:r>
        <w:r>
          <w:rPr>
            <w:noProof/>
            <w:webHidden/>
          </w:rPr>
          <w:tab/>
        </w:r>
        <w:r>
          <w:rPr>
            <w:noProof/>
            <w:webHidden/>
          </w:rPr>
          <w:fldChar w:fldCharType="begin"/>
        </w:r>
        <w:r>
          <w:rPr>
            <w:noProof/>
            <w:webHidden/>
          </w:rPr>
          <w:instrText xml:space="preserve"> PAGEREF _Toc205532847 \h </w:instrText>
        </w:r>
        <w:r>
          <w:rPr>
            <w:noProof/>
            <w:webHidden/>
          </w:rPr>
        </w:r>
        <w:r>
          <w:rPr>
            <w:noProof/>
            <w:webHidden/>
          </w:rPr>
          <w:fldChar w:fldCharType="separate"/>
        </w:r>
        <w:r>
          <w:rPr>
            <w:noProof/>
            <w:webHidden/>
          </w:rPr>
          <w:t>11</w:t>
        </w:r>
        <w:r>
          <w:rPr>
            <w:noProof/>
            <w:webHidden/>
          </w:rPr>
          <w:fldChar w:fldCharType="end"/>
        </w:r>
      </w:hyperlink>
    </w:p>
    <w:p w:rsidR="009B3F42" w:rsidRDefault="009B3F42">
      <w:pPr>
        <w:pStyle w:val="TOC2"/>
        <w:tabs>
          <w:tab w:val="right" w:leader="dot" w:pos="9061"/>
        </w:tabs>
        <w:rPr>
          <w:rFonts w:ascii="Calibri" w:hAnsi="Calibri"/>
          <w:noProof/>
          <w:kern w:val="2"/>
          <w:lang w:val="en-RU" w:eastAsia="en-GB"/>
        </w:rPr>
      </w:pPr>
      <w:hyperlink w:anchor="_Toc205532848" w:history="1">
        <w:r w:rsidRPr="007302DE">
          <w:rPr>
            <w:rStyle w:val="Hyperlink"/>
            <w:noProof/>
          </w:rPr>
          <w:t>Ваш Пенсионный Брокер, 07.08.2025, НПФ «ПЕРСПЕКТИВА» проиндексировал размер накопительных пенсий и срочных выплат</w:t>
        </w:r>
        <w:r>
          <w:rPr>
            <w:noProof/>
            <w:webHidden/>
          </w:rPr>
          <w:tab/>
        </w:r>
        <w:r>
          <w:rPr>
            <w:noProof/>
            <w:webHidden/>
          </w:rPr>
          <w:fldChar w:fldCharType="begin"/>
        </w:r>
        <w:r>
          <w:rPr>
            <w:noProof/>
            <w:webHidden/>
          </w:rPr>
          <w:instrText xml:space="preserve"> PAGEREF _Toc205532848 \h </w:instrText>
        </w:r>
        <w:r>
          <w:rPr>
            <w:noProof/>
            <w:webHidden/>
          </w:rPr>
        </w:r>
        <w:r>
          <w:rPr>
            <w:noProof/>
            <w:webHidden/>
          </w:rPr>
          <w:fldChar w:fldCharType="separate"/>
        </w:r>
        <w:r>
          <w:rPr>
            <w:noProof/>
            <w:webHidden/>
          </w:rPr>
          <w:t>11</w:t>
        </w:r>
        <w:r>
          <w:rPr>
            <w:noProof/>
            <w:webHidden/>
          </w:rPr>
          <w:fldChar w:fldCharType="end"/>
        </w:r>
      </w:hyperlink>
    </w:p>
    <w:p w:rsidR="009B3F42" w:rsidRDefault="009B3F42">
      <w:pPr>
        <w:pStyle w:val="TOC3"/>
        <w:rPr>
          <w:rFonts w:ascii="Calibri" w:hAnsi="Calibri"/>
          <w:kern w:val="2"/>
          <w:lang w:val="en-RU" w:eastAsia="en-GB"/>
        </w:rPr>
      </w:pPr>
      <w:hyperlink w:anchor="_Toc205532849" w:history="1">
        <w:r w:rsidRPr="007302DE">
          <w:rPr>
            <w:rStyle w:val="Hyperlink"/>
          </w:rPr>
          <w:t>С 1 августа 2025 года размер накопительной пенсии и срочной пенсионной выплаты клиентов НПФ «ПЕРСПЕКТИВА» вырос в среднем на 12,8%.</w:t>
        </w:r>
        <w:r>
          <w:rPr>
            <w:webHidden/>
          </w:rPr>
          <w:tab/>
        </w:r>
        <w:r>
          <w:rPr>
            <w:webHidden/>
          </w:rPr>
          <w:fldChar w:fldCharType="begin"/>
        </w:r>
        <w:r>
          <w:rPr>
            <w:webHidden/>
          </w:rPr>
          <w:instrText xml:space="preserve"> PAGEREF _Toc205532849 \h </w:instrText>
        </w:r>
        <w:r>
          <w:rPr>
            <w:webHidden/>
          </w:rPr>
        </w:r>
        <w:r>
          <w:rPr>
            <w:webHidden/>
          </w:rPr>
          <w:fldChar w:fldCharType="separate"/>
        </w:r>
        <w:r>
          <w:rPr>
            <w:webHidden/>
          </w:rPr>
          <w:t>11</w:t>
        </w:r>
        <w:r>
          <w:rPr>
            <w:webHidden/>
          </w:rPr>
          <w:fldChar w:fldCharType="end"/>
        </w:r>
      </w:hyperlink>
    </w:p>
    <w:p w:rsidR="009B3F42" w:rsidRDefault="009B3F42">
      <w:pPr>
        <w:pStyle w:val="TOC2"/>
        <w:tabs>
          <w:tab w:val="right" w:leader="dot" w:pos="9061"/>
        </w:tabs>
        <w:rPr>
          <w:rFonts w:ascii="Calibri" w:hAnsi="Calibri"/>
          <w:noProof/>
          <w:kern w:val="2"/>
          <w:lang w:val="en-RU" w:eastAsia="en-GB"/>
        </w:rPr>
      </w:pPr>
      <w:hyperlink w:anchor="_Toc205532850" w:history="1">
        <w:r w:rsidRPr="007302DE">
          <w:rPr>
            <w:rStyle w:val="Hyperlink"/>
            <w:noProof/>
          </w:rPr>
          <w:t>Ваш Пенсионный Брокер, 07.08.2025, НПФ ПСБ подвел итоги деятельности за 6 месяцев 2025 года</w:t>
        </w:r>
        <w:r>
          <w:rPr>
            <w:noProof/>
            <w:webHidden/>
          </w:rPr>
          <w:tab/>
        </w:r>
        <w:r>
          <w:rPr>
            <w:noProof/>
            <w:webHidden/>
          </w:rPr>
          <w:fldChar w:fldCharType="begin"/>
        </w:r>
        <w:r>
          <w:rPr>
            <w:noProof/>
            <w:webHidden/>
          </w:rPr>
          <w:instrText xml:space="preserve"> PAGEREF _Toc205532850 \h </w:instrText>
        </w:r>
        <w:r>
          <w:rPr>
            <w:noProof/>
            <w:webHidden/>
          </w:rPr>
        </w:r>
        <w:r>
          <w:rPr>
            <w:noProof/>
            <w:webHidden/>
          </w:rPr>
          <w:fldChar w:fldCharType="separate"/>
        </w:r>
        <w:r>
          <w:rPr>
            <w:noProof/>
            <w:webHidden/>
          </w:rPr>
          <w:t>11</w:t>
        </w:r>
        <w:r>
          <w:rPr>
            <w:noProof/>
            <w:webHidden/>
          </w:rPr>
          <w:fldChar w:fldCharType="end"/>
        </w:r>
      </w:hyperlink>
    </w:p>
    <w:p w:rsidR="009B3F42" w:rsidRDefault="009B3F42">
      <w:pPr>
        <w:pStyle w:val="TOC3"/>
        <w:rPr>
          <w:rFonts w:ascii="Calibri" w:hAnsi="Calibri"/>
          <w:kern w:val="2"/>
          <w:lang w:val="en-RU" w:eastAsia="en-GB"/>
        </w:rPr>
      </w:pPr>
      <w:hyperlink w:anchor="_Toc205532851" w:history="1">
        <w:r w:rsidRPr="007302DE">
          <w:rPr>
            <w:rStyle w:val="Hyperlink"/>
          </w:rPr>
          <w:t>АО НПФ ПСБ представил отчетность за первое полугодие 2025 года в Банк России.</w:t>
        </w:r>
        <w:r>
          <w:rPr>
            <w:webHidden/>
          </w:rPr>
          <w:tab/>
        </w:r>
        <w:r>
          <w:rPr>
            <w:webHidden/>
          </w:rPr>
          <w:fldChar w:fldCharType="begin"/>
        </w:r>
        <w:r>
          <w:rPr>
            <w:webHidden/>
          </w:rPr>
          <w:instrText xml:space="preserve"> PAGEREF _Toc205532851 \h </w:instrText>
        </w:r>
        <w:r>
          <w:rPr>
            <w:webHidden/>
          </w:rPr>
        </w:r>
        <w:r>
          <w:rPr>
            <w:webHidden/>
          </w:rPr>
          <w:fldChar w:fldCharType="separate"/>
        </w:r>
        <w:r>
          <w:rPr>
            <w:webHidden/>
          </w:rPr>
          <w:t>11</w:t>
        </w:r>
        <w:r>
          <w:rPr>
            <w:webHidden/>
          </w:rPr>
          <w:fldChar w:fldCharType="end"/>
        </w:r>
      </w:hyperlink>
    </w:p>
    <w:p w:rsidR="009B3F42" w:rsidRDefault="009B3F42">
      <w:pPr>
        <w:pStyle w:val="TOC2"/>
        <w:tabs>
          <w:tab w:val="right" w:leader="dot" w:pos="9061"/>
        </w:tabs>
        <w:rPr>
          <w:rFonts w:ascii="Calibri" w:hAnsi="Calibri"/>
          <w:noProof/>
          <w:kern w:val="2"/>
          <w:lang w:val="en-RU" w:eastAsia="en-GB"/>
        </w:rPr>
      </w:pPr>
      <w:hyperlink w:anchor="_Toc205532852" w:history="1">
        <w:r w:rsidRPr="007302DE">
          <w:rPr>
            <w:rStyle w:val="Hyperlink"/>
            <w:noProof/>
          </w:rPr>
          <w:t>ЭкоГрад, 07.08.2025, Объём активов НПФ Эволюция за первое полугодие 2025 года составил 455 млрд рублей</w:t>
        </w:r>
        <w:r>
          <w:rPr>
            <w:noProof/>
            <w:webHidden/>
          </w:rPr>
          <w:tab/>
        </w:r>
        <w:r>
          <w:rPr>
            <w:noProof/>
            <w:webHidden/>
          </w:rPr>
          <w:fldChar w:fldCharType="begin"/>
        </w:r>
        <w:r>
          <w:rPr>
            <w:noProof/>
            <w:webHidden/>
          </w:rPr>
          <w:instrText xml:space="preserve"> PAGEREF _Toc205532852 \h </w:instrText>
        </w:r>
        <w:r>
          <w:rPr>
            <w:noProof/>
            <w:webHidden/>
          </w:rPr>
        </w:r>
        <w:r>
          <w:rPr>
            <w:noProof/>
            <w:webHidden/>
          </w:rPr>
          <w:fldChar w:fldCharType="separate"/>
        </w:r>
        <w:r>
          <w:rPr>
            <w:noProof/>
            <w:webHidden/>
          </w:rPr>
          <w:t>12</w:t>
        </w:r>
        <w:r>
          <w:rPr>
            <w:noProof/>
            <w:webHidden/>
          </w:rPr>
          <w:fldChar w:fldCharType="end"/>
        </w:r>
      </w:hyperlink>
    </w:p>
    <w:p w:rsidR="009B3F42" w:rsidRDefault="009B3F42">
      <w:pPr>
        <w:pStyle w:val="TOC3"/>
        <w:rPr>
          <w:rFonts w:ascii="Calibri" w:hAnsi="Calibri"/>
          <w:kern w:val="2"/>
          <w:lang w:val="en-RU" w:eastAsia="en-GB"/>
        </w:rPr>
      </w:pPr>
      <w:hyperlink w:anchor="_Toc205532853" w:history="1">
        <w:r w:rsidRPr="007302DE">
          <w:rPr>
            <w:rStyle w:val="Hyperlink"/>
          </w:rPr>
          <w:t>НПФ Эволюция опубликовал бухгалтерскую (финансовую) отчетность по итогам I полугодия 2025 года. Объем активов фонда за второй квартал увеличился на 23 млрд и на конец июня 2025 года достиг 455 млрд рублей. Динамика показывает, что фонд в течение длительного времени планомерно наращивает активы, удерживает ведущие позиции в своей сфере.</w:t>
        </w:r>
        <w:r>
          <w:rPr>
            <w:webHidden/>
          </w:rPr>
          <w:tab/>
        </w:r>
        <w:r>
          <w:rPr>
            <w:webHidden/>
          </w:rPr>
          <w:fldChar w:fldCharType="begin"/>
        </w:r>
        <w:r>
          <w:rPr>
            <w:webHidden/>
          </w:rPr>
          <w:instrText xml:space="preserve"> PAGEREF _Toc205532853 \h </w:instrText>
        </w:r>
        <w:r>
          <w:rPr>
            <w:webHidden/>
          </w:rPr>
        </w:r>
        <w:r>
          <w:rPr>
            <w:webHidden/>
          </w:rPr>
          <w:fldChar w:fldCharType="separate"/>
        </w:r>
        <w:r>
          <w:rPr>
            <w:webHidden/>
          </w:rPr>
          <w:t>12</w:t>
        </w:r>
        <w:r>
          <w:rPr>
            <w:webHidden/>
          </w:rPr>
          <w:fldChar w:fldCharType="end"/>
        </w:r>
      </w:hyperlink>
    </w:p>
    <w:p w:rsidR="009B3F42" w:rsidRDefault="009B3F42">
      <w:pPr>
        <w:pStyle w:val="TOC2"/>
        <w:tabs>
          <w:tab w:val="right" w:leader="dot" w:pos="9061"/>
        </w:tabs>
        <w:rPr>
          <w:rFonts w:ascii="Calibri" w:hAnsi="Calibri"/>
          <w:noProof/>
          <w:kern w:val="2"/>
          <w:lang w:val="en-RU" w:eastAsia="en-GB"/>
        </w:rPr>
      </w:pPr>
      <w:hyperlink w:anchor="_Toc205532854" w:history="1">
        <w:r w:rsidRPr="007302DE">
          <w:rPr>
            <w:rStyle w:val="Hyperlink"/>
            <w:noProof/>
          </w:rPr>
          <w:t>Ваш Пенсионный Брокер, 07.08.2025, О государственной регистрации изменений, вносимых в устав АО «НПФ Эволюция»</w:t>
        </w:r>
        <w:r>
          <w:rPr>
            <w:noProof/>
            <w:webHidden/>
          </w:rPr>
          <w:tab/>
        </w:r>
        <w:r>
          <w:rPr>
            <w:noProof/>
            <w:webHidden/>
          </w:rPr>
          <w:fldChar w:fldCharType="begin"/>
        </w:r>
        <w:r>
          <w:rPr>
            <w:noProof/>
            <w:webHidden/>
          </w:rPr>
          <w:instrText xml:space="preserve"> PAGEREF _Toc205532854 \h </w:instrText>
        </w:r>
        <w:r>
          <w:rPr>
            <w:noProof/>
            <w:webHidden/>
          </w:rPr>
        </w:r>
        <w:r>
          <w:rPr>
            <w:noProof/>
            <w:webHidden/>
          </w:rPr>
          <w:fldChar w:fldCharType="separate"/>
        </w:r>
        <w:r>
          <w:rPr>
            <w:noProof/>
            <w:webHidden/>
          </w:rPr>
          <w:t>14</w:t>
        </w:r>
        <w:r>
          <w:rPr>
            <w:noProof/>
            <w:webHidden/>
          </w:rPr>
          <w:fldChar w:fldCharType="end"/>
        </w:r>
      </w:hyperlink>
    </w:p>
    <w:p w:rsidR="009B3F42" w:rsidRDefault="009B3F42">
      <w:pPr>
        <w:pStyle w:val="TOC3"/>
        <w:rPr>
          <w:rFonts w:ascii="Calibri" w:hAnsi="Calibri"/>
          <w:kern w:val="2"/>
          <w:lang w:val="en-RU" w:eastAsia="en-GB"/>
        </w:rPr>
      </w:pPr>
      <w:hyperlink w:anchor="_Toc205532855" w:history="1">
        <w:r w:rsidRPr="007302DE">
          <w:rPr>
            <w:rStyle w:val="Hyperlink"/>
          </w:rPr>
          <w:t>Банк России 06.08.2025 принял решение зарегистрировать изменения, вносимые в устав Акционерного общества «Негосударственный пенсионный фонд Эволюция» (г. Москва).</w:t>
        </w:r>
        <w:r>
          <w:rPr>
            <w:webHidden/>
          </w:rPr>
          <w:tab/>
        </w:r>
        <w:r>
          <w:rPr>
            <w:webHidden/>
          </w:rPr>
          <w:fldChar w:fldCharType="begin"/>
        </w:r>
        <w:r>
          <w:rPr>
            <w:webHidden/>
          </w:rPr>
          <w:instrText xml:space="preserve"> PAGEREF _Toc205532855 \h </w:instrText>
        </w:r>
        <w:r>
          <w:rPr>
            <w:webHidden/>
          </w:rPr>
        </w:r>
        <w:r>
          <w:rPr>
            <w:webHidden/>
          </w:rPr>
          <w:fldChar w:fldCharType="separate"/>
        </w:r>
        <w:r>
          <w:rPr>
            <w:webHidden/>
          </w:rPr>
          <w:t>14</w:t>
        </w:r>
        <w:r>
          <w:rPr>
            <w:webHidden/>
          </w:rPr>
          <w:fldChar w:fldCharType="end"/>
        </w:r>
      </w:hyperlink>
    </w:p>
    <w:p w:rsidR="009B3F42" w:rsidRDefault="009B3F42">
      <w:pPr>
        <w:pStyle w:val="TOC2"/>
        <w:tabs>
          <w:tab w:val="right" w:leader="dot" w:pos="9061"/>
        </w:tabs>
        <w:rPr>
          <w:rFonts w:ascii="Calibri" w:hAnsi="Calibri"/>
          <w:noProof/>
          <w:kern w:val="2"/>
          <w:lang w:val="en-RU" w:eastAsia="en-GB"/>
        </w:rPr>
      </w:pPr>
      <w:hyperlink w:anchor="_Toc205532856" w:history="1">
        <w:r w:rsidRPr="007302DE">
          <w:rPr>
            <w:rStyle w:val="Hyperlink"/>
            <w:noProof/>
          </w:rPr>
          <w:t>РБК, 07.08.2025, НПФ «Социум» поддержал проект по финансовой грамотности</w:t>
        </w:r>
        <w:r>
          <w:rPr>
            <w:noProof/>
            <w:webHidden/>
          </w:rPr>
          <w:tab/>
        </w:r>
        <w:r>
          <w:rPr>
            <w:noProof/>
            <w:webHidden/>
          </w:rPr>
          <w:fldChar w:fldCharType="begin"/>
        </w:r>
        <w:r>
          <w:rPr>
            <w:noProof/>
            <w:webHidden/>
          </w:rPr>
          <w:instrText xml:space="preserve"> PAGEREF _Toc205532856 \h </w:instrText>
        </w:r>
        <w:r>
          <w:rPr>
            <w:noProof/>
            <w:webHidden/>
          </w:rPr>
        </w:r>
        <w:r>
          <w:rPr>
            <w:noProof/>
            <w:webHidden/>
          </w:rPr>
          <w:fldChar w:fldCharType="separate"/>
        </w:r>
        <w:r>
          <w:rPr>
            <w:noProof/>
            <w:webHidden/>
          </w:rPr>
          <w:t>14</w:t>
        </w:r>
        <w:r>
          <w:rPr>
            <w:noProof/>
            <w:webHidden/>
          </w:rPr>
          <w:fldChar w:fldCharType="end"/>
        </w:r>
      </w:hyperlink>
    </w:p>
    <w:p w:rsidR="009B3F42" w:rsidRDefault="009B3F42">
      <w:pPr>
        <w:pStyle w:val="TOC3"/>
        <w:rPr>
          <w:rFonts w:ascii="Calibri" w:hAnsi="Calibri"/>
          <w:kern w:val="2"/>
          <w:lang w:val="en-RU" w:eastAsia="en-GB"/>
        </w:rPr>
      </w:pPr>
      <w:hyperlink w:anchor="_Toc205532857" w:history="1">
        <w:r w:rsidRPr="007302DE">
          <w:rPr>
            <w:rStyle w:val="Hyperlink"/>
          </w:rPr>
          <w:t>НПФ «Социум» принял участие в интерактивном проекте «Резидент столицы финансовой культуры». В 2025 году Нижегородская область получила статус «Столица финансовой культуры», представив новый интерактивный проект «Резидент столицы финансовой культуры».</w:t>
        </w:r>
        <w:r>
          <w:rPr>
            <w:webHidden/>
          </w:rPr>
          <w:tab/>
        </w:r>
        <w:r>
          <w:rPr>
            <w:webHidden/>
          </w:rPr>
          <w:fldChar w:fldCharType="begin"/>
        </w:r>
        <w:r>
          <w:rPr>
            <w:webHidden/>
          </w:rPr>
          <w:instrText xml:space="preserve"> PAGEREF _Toc205532857 \h </w:instrText>
        </w:r>
        <w:r>
          <w:rPr>
            <w:webHidden/>
          </w:rPr>
        </w:r>
        <w:r>
          <w:rPr>
            <w:webHidden/>
          </w:rPr>
          <w:fldChar w:fldCharType="separate"/>
        </w:r>
        <w:r>
          <w:rPr>
            <w:webHidden/>
          </w:rPr>
          <w:t>14</w:t>
        </w:r>
        <w:r>
          <w:rPr>
            <w:webHidden/>
          </w:rPr>
          <w:fldChar w:fldCharType="end"/>
        </w:r>
      </w:hyperlink>
    </w:p>
    <w:p w:rsidR="009B3F42" w:rsidRDefault="009B3F42">
      <w:pPr>
        <w:pStyle w:val="TOC1"/>
        <w:tabs>
          <w:tab w:val="right" w:leader="dot" w:pos="9061"/>
        </w:tabs>
        <w:rPr>
          <w:rFonts w:ascii="Calibri" w:hAnsi="Calibri"/>
          <w:b w:val="0"/>
          <w:noProof/>
          <w:kern w:val="2"/>
          <w:sz w:val="24"/>
          <w:lang w:val="en-RU" w:eastAsia="en-GB"/>
        </w:rPr>
      </w:pPr>
      <w:hyperlink w:anchor="_Toc205532858" w:history="1">
        <w:r w:rsidRPr="007302DE">
          <w:rPr>
            <w:rStyle w:val="Hyperlink"/>
            <w:noProof/>
          </w:rPr>
          <w:t>Программа долгосрочных сбережений</w:t>
        </w:r>
        <w:r>
          <w:rPr>
            <w:noProof/>
            <w:webHidden/>
          </w:rPr>
          <w:tab/>
        </w:r>
        <w:r>
          <w:rPr>
            <w:noProof/>
            <w:webHidden/>
          </w:rPr>
          <w:fldChar w:fldCharType="begin"/>
        </w:r>
        <w:r>
          <w:rPr>
            <w:noProof/>
            <w:webHidden/>
          </w:rPr>
          <w:instrText xml:space="preserve"> PAGEREF _Toc205532858 \h </w:instrText>
        </w:r>
        <w:r>
          <w:rPr>
            <w:noProof/>
            <w:webHidden/>
          </w:rPr>
        </w:r>
        <w:r>
          <w:rPr>
            <w:noProof/>
            <w:webHidden/>
          </w:rPr>
          <w:fldChar w:fldCharType="separate"/>
        </w:r>
        <w:r>
          <w:rPr>
            <w:noProof/>
            <w:webHidden/>
          </w:rPr>
          <w:t>15</w:t>
        </w:r>
        <w:r>
          <w:rPr>
            <w:noProof/>
            <w:webHidden/>
          </w:rPr>
          <w:fldChar w:fldCharType="end"/>
        </w:r>
      </w:hyperlink>
    </w:p>
    <w:p w:rsidR="009B3F42" w:rsidRDefault="009B3F42">
      <w:pPr>
        <w:pStyle w:val="TOC2"/>
        <w:tabs>
          <w:tab w:val="right" w:leader="dot" w:pos="9061"/>
        </w:tabs>
        <w:rPr>
          <w:rFonts w:ascii="Calibri" w:hAnsi="Calibri"/>
          <w:noProof/>
          <w:kern w:val="2"/>
          <w:lang w:val="en-RU" w:eastAsia="en-GB"/>
        </w:rPr>
      </w:pPr>
      <w:hyperlink w:anchor="_Toc205532859" w:history="1">
        <w:r w:rsidRPr="007302DE">
          <w:rPr>
            <w:rStyle w:val="Hyperlink"/>
            <w:noProof/>
          </w:rPr>
          <w:t>Ведомости, 08.08.2025, Большинство россиян не понимают, как управлять замороженной пенсией</w:t>
        </w:r>
        <w:r>
          <w:rPr>
            <w:noProof/>
            <w:webHidden/>
          </w:rPr>
          <w:tab/>
        </w:r>
        <w:r>
          <w:rPr>
            <w:noProof/>
            <w:webHidden/>
          </w:rPr>
          <w:fldChar w:fldCharType="begin"/>
        </w:r>
        <w:r>
          <w:rPr>
            <w:noProof/>
            <w:webHidden/>
          </w:rPr>
          <w:instrText xml:space="preserve"> PAGEREF _Toc205532859 \h </w:instrText>
        </w:r>
        <w:r>
          <w:rPr>
            <w:noProof/>
            <w:webHidden/>
          </w:rPr>
        </w:r>
        <w:r>
          <w:rPr>
            <w:noProof/>
            <w:webHidden/>
          </w:rPr>
          <w:fldChar w:fldCharType="separate"/>
        </w:r>
        <w:r>
          <w:rPr>
            <w:noProof/>
            <w:webHidden/>
          </w:rPr>
          <w:t>15</w:t>
        </w:r>
        <w:r>
          <w:rPr>
            <w:noProof/>
            <w:webHidden/>
          </w:rPr>
          <w:fldChar w:fldCharType="end"/>
        </w:r>
      </w:hyperlink>
    </w:p>
    <w:p w:rsidR="009B3F42" w:rsidRDefault="009B3F42">
      <w:pPr>
        <w:pStyle w:val="TOC3"/>
        <w:rPr>
          <w:rFonts w:ascii="Calibri" w:hAnsi="Calibri"/>
          <w:kern w:val="2"/>
          <w:lang w:val="en-RU" w:eastAsia="en-GB"/>
        </w:rPr>
      </w:pPr>
      <w:hyperlink w:anchor="_Toc205532860" w:history="1">
        <w:r w:rsidRPr="007302DE">
          <w:rPr>
            <w:rStyle w:val="Hyperlink"/>
          </w:rPr>
          <w:t>Подавляющее большинство россиян (77%) не разбираются в формировании своих пенсионных накоплений и не интересуются этой темой, следует из совместного исследования негосударственного пенсионного фонда (НПФ) "Достойное будущее" и Финансового университета, результаты которого есть в распоряжении "Ведомостей". По этим причинам, говорится в исследовании, россияне не особо мотивированы совершать активные действия со своими накоплениями или переводить их в программу долгосрочных сбережений (ПДС). В опросе участвовали 2000 респондентов по всей стране методом онлайн-анкетирования летом 2025 г.</w:t>
        </w:r>
        <w:r>
          <w:rPr>
            <w:webHidden/>
          </w:rPr>
          <w:tab/>
        </w:r>
        <w:r>
          <w:rPr>
            <w:webHidden/>
          </w:rPr>
          <w:fldChar w:fldCharType="begin"/>
        </w:r>
        <w:r>
          <w:rPr>
            <w:webHidden/>
          </w:rPr>
          <w:instrText xml:space="preserve"> PAGEREF _Toc205532860 \h </w:instrText>
        </w:r>
        <w:r>
          <w:rPr>
            <w:webHidden/>
          </w:rPr>
        </w:r>
        <w:r>
          <w:rPr>
            <w:webHidden/>
          </w:rPr>
          <w:fldChar w:fldCharType="separate"/>
        </w:r>
        <w:r>
          <w:rPr>
            <w:webHidden/>
          </w:rPr>
          <w:t>15</w:t>
        </w:r>
        <w:r>
          <w:rPr>
            <w:webHidden/>
          </w:rPr>
          <w:fldChar w:fldCharType="end"/>
        </w:r>
      </w:hyperlink>
    </w:p>
    <w:p w:rsidR="009B3F42" w:rsidRDefault="009B3F42">
      <w:pPr>
        <w:pStyle w:val="TOC2"/>
        <w:tabs>
          <w:tab w:val="right" w:leader="dot" w:pos="9061"/>
        </w:tabs>
        <w:rPr>
          <w:rFonts w:ascii="Calibri" w:hAnsi="Calibri"/>
          <w:noProof/>
          <w:kern w:val="2"/>
          <w:lang w:val="en-RU" w:eastAsia="en-GB"/>
        </w:rPr>
      </w:pPr>
      <w:hyperlink w:anchor="_Toc205532861" w:history="1">
        <w:r w:rsidRPr="007302DE">
          <w:rPr>
            <w:rStyle w:val="Hyperlink"/>
            <w:noProof/>
          </w:rPr>
          <w:t>Газета.</w:t>
        </w:r>
        <w:r w:rsidRPr="007302DE">
          <w:rPr>
            <w:rStyle w:val="Hyperlink"/>
            <w:noProof/>
            <w:lang w:val="en-US"/>
          </w:rPr>
          <w:t>ru</w:t>
        </w:r>
        <w:r w:rsidRPr="007302DE">
          <w:rPr>
            <w:rStyle w:val="Hyperlink"/>
            <w:noProof/>
          </w:rPr>
          <w:t>, 08.08.2025, Стало известно, что россияне не понимают, как управлять замороженной пенсией</w:t>
        </w:r>
        <w:r>
          <w:rPr>
            <w:noProof/>
            <w:webHidden/>
          </w:rPr>
          <w:tab/>
        </w:r>
        <w:r>
          <w:rPr>
            <w:noProof/>
            <w:webHidden/>
          </w:rPr>
          <w:fldChar w:fldCharType="begin"/>
        </w:r>
        <w:r>
          <w:rPr>
            <w:noProof/>
            <w:webHidden/>
          </w:rPr>
          <w:instrText xml:space="preserve"> PAGEREF _Toc205532861 \h </w:instrText>
        </w:r>
        <w:r>
          <w:rPr>
            <w:noProof/>
            <w:webHidden/>
          </w:rPr>
        </w:r>
        <w:r>
          <w:rPr>
            <w:noProof/>
            <w:webHidden/>
          </w:rPr>
          <w:fldChar w:fldCharType="separate"/>
        </w:r>
        <w:r>
          <w:rPr>
            <w:noProof/>
            <w:webHidden/>
          </w:rPr>
          <w:t>18</w:t>
        </w:r>
        <w:r>
          <w:rPr>
            <w:noProof/>
            <w:webHidden/>
          </w:rPr>
          <w:fldChar w:fldCharType="end"/>
        </w:r>
      </w:hyperlink>
    </w:p>
    <w:p w:rsidR="009B3F42" w:rsidRDefault="009B3F42">
      <w:pPr>
        <w:pStyle w:val="TOC3"/>
        <w:rPr>
          <w:rFonts w:ascii="Calibri" w:hAnsi="Calibri"/>
          <w:kern w:val="2"/>
          <w:lang w:val="en-RU" w:eastAsia="en-GB"/>
        </w:rPr>
      </w:pPr>
      <w:hyperlink w:anchor="_Toc205532862" w:history="1">
        <w:r w:rsidRPr="007302DE">
          <w:rPr>
            <w:rStyle w:val="Hyperlink"/>
          </w:rPr>
          <w:t>77% граждан России не понимают, как формировать свои пенсионные накопления и не интересуются этим. Об этом сообщают «Ведомости» со ссылкой на совместное исследование негосударственного пенсионного фонда «Достойное будущее» и Финансового университета.</w:t>
        </w:r>
        <w:r>
          <w:rPr>
            <w:webHidden/>
          </w:rPr>
          <w:tab/>
        </w:r>
        <w:r>
          <w:rPr>
            <w:webHidden/>
          </w:rPr>
          <w:fldChar w:fldCharType="begin"/>
        </w:r>
        <w:r>
          <w:rPr>
            <w:webHidden/>
          </w:rPr>
          <w:instrText xml:space="preserve"> PAGEREF _Toc205532862 \h </w:instrText>
        </w:r>
        <w:r>
          <w:rPr>
            <w:webHidden/>
          </w:rPr>
        </w:r>
        <w:r>
          <w:rPr>
            <w:webHidden/>
          </w:rPr>
          <w:fldChar w:fldCharType="separate"/>
        </w:r>
        <w:r>
          <w:rPr>
            <w:webHidden/>
          </w:rPr>
          <w:t>18</w:t>
        </w:r>
        <w:r>
          <w:rPr>
            <w:webHidden/>
          </w:rPr>
          <w:fldChar w:fldCharType="end"/>
        </w:r>
      </w:hyperlink>
    </w:p>
    <w:p w:rsidR="009B3F42" w:rsidRDefault="009B3F42">
      <w:pPr>
        <w:pStyle w:val="TOC2"/>
        <w:tabs>
          <w:tab w:val="right" w:leader="dot" w:pos="9061"/>
        </w:tabs>
        <w:rPr>
          <w:rFonts w:ascii="Calibri" w:hAnsi="Calibri"/>
          <w:noProof/>
          <w:kern w:val="2"/>
          <w:lang w:val="en-RU" w:eastAsia="en-GB"/>
        </w:rPr>
      </w:pPr>
      <w:hyperlink w:anchor="_Toc205532863" w:history="1">
        <w:r w:rsidRPr="007302DE">
          <w:rPr>
            <w:rStyle w:val="Hyperlink"/>
            <w:noProof/>
          </w:rPr>
          <w:t>Сельская жизнь, 07.08.2025, Россияне еще не склонны «сберегать вдолгую»</w:t>
        </w:r>
        <w:r>
          <w:rPr>
            <w:noProof/>
            <w:webHidden/>
          </w:rPr>
          <w:tab/>
        </w:r>
        <w:r>
          <w:rPr>
            <w:noProof/>
            <w:webHidden/>
          </w:rPr>
          <w:fldChar w:fldCharType="begin"/>
        </w:r>
        <w:r>
          <w:rPr>
            <w:noProof/>
            <w:webHidden/>
          </w:rPr>
          <w:instrText xml:space="preserve"> PAGEREF _Toc205532863 \h </w:instrText>
        </w:r>
        <w:r>
          <w:rPr>
            <w:noProof/>
            <w:webHidden/>
          </w:rPr>
        </w:r>
        <w:r>
          <w:rPr>
            <w:noProof/>
            <w:webHidden/>
          </w:rPr>
          <w:fldChar w:fldCharType="separate"/>
        </w:r>
        <w:r>
          <w:rPr>
            <w:noProof/>
            <w:webHidden/>
          </w:rPr>
          <w:t>18</w:t>
        </w:r>
        <w:r>
          <w:rPr>
            <w:noProof/>
            <w:webHidden/>
          </w:rPr>
          <w:fldChar w:fldCharType="end"/>
        </w:r>
      </w:hyperlink>
    </w:p>
    <w:p w:rsidR="009B3F42" w:rsidRDefault="009B3F42">
      <w:pPr>
        <w:pStyle w:val="TOC3"/>
        <w:rPr>
          <w:rFonts w:ascii="Calibri" w:hAnsi="Calibri"/>
          <w:kern w:val="2"/>
          <w:lang w:val="en-RU" w:eastAsia="en-GB"/>
        </w:rPr>
      </w:pPr>
      <w:hyperlink w:anchor="_Toc205532864" w:history="1">
        <w:r w:rsidRPr="007302DE">
          <w:rPr>
            <w:rStyle w:val="Hyperlink"/>
          </w:rPr>
          <w:t>В долгосрочной перспективе при стабилизации экономической ситуации "длинные" сберегательные инструменты могут стать более привлекательными для инвесторов. О том, какие инвестиционные стратегии сейчас популярны у россиян и что может простимулировать рост популярности ИИС и ПДС, рассказала на полях Финансового конгресса Банка России заместитель Председателя Правления Россельхозбанка Анна Кузнецова.</w:t>
        </w:r>
        <w:r>
          <w:rPr>
            <w:webHidden/>
          </w:rPr>
          <w:tab/>
        </w:r>
        <w:r>
          <w:rPr>
            <w:webHidden/>
          </w:rPr>
          <w:fldChar w:fldCharType="begin"/>
        </w:r>
        <w:r>
          <w:rPr>
            <w:webHidden/>
          </w:rPr>
          <w:instrText xml:space="preserve"> PAGEREF _Toc205532864 \h </w:instrText>
        </w:r>
        <w:r>
          <w:rPr>
            <w:webHidden/>
          </w:rPr>
        </w:r>
        <w:r>
          <w:rPr>
            <w:webHidden/>
          </w:rPr>
          <w:fldChar w:fldCharType="separate"/>
        </w:r>
        <w:r>
          <w:rPr>
            <w:webHidden/>
          </w:rPr>
          <w:t>18</w:t>
        </w:r>
        <w:r>
          <w:rPr>
            <w:webHidden/>
          </w:rPr>
          <w:fldChar w:fldCharType="end"/>
        </w:r>
      </w:hyperlink>
    </w:p>
    <w:p w:rsidR="009B3F42" w:rsidRDefault="009B3F42">
      <w:pPr>
        <w:pStyle w:val="TOC2"/>
        <w:tabs>
          <w:tab w:val="right" w:leader="dot" w:pos="9061"/>
        </w:tabs>
        <w:rPr>
          <w:rFonts w:ascii="Calibri" w:hAnsi="Calibri"/>
          <w:noProof/>
          <w:kern w:val="2"/>
          <w:lang w:val="en-RU" w:eastAsia="en-GB"/>
        </w:rPr>
      </w:pPr>
      <w:hyperlink w:anchor="_Toc205532865" w:history="1">
        <w:r w:rsidRPr="007302DE">
          <w:rPr>
            <w:rStyle w:val="Hyperlink"/>
            <w:noProof/>
          </w:rPr>
          <w:t>Finam.ru, 07.08.2025, Копим на пенсию на фондовом рынке – как собрать портфель</w:t>
        </w:r>
        <w:r>
          <w:rPr>
            <w:noProof/>
            <w:webHidden/>
          </w:rPr>
          <w:tab/>
        </w:r>
        <w:r>
          <w:rPr>
            <w:noProof/>
            <w:webHidden/>
          </w:rPr>
          <w:fldChar w:fldCharType="begin"/>
        </w:r>
        <w:r>
          <w:rPr>
            <w:noProof/>
            <w:webHidden/>
          </w:rPr>
          <w:instrText xml:space="preserve"> PAGEREF _Toc205532865 \h </w:instrText>
        </w:r>
        <w:r>
          <w:rPr>
            <w:noProof/>
            <w:webHidden/>
          </w:rPr>
        </w:r>
        <w:r>
          <w:rPr>
            <w:noProof/>
            <w:webHidden/>
          </w:rPr>
          <w:fldChar w:fldCharType="separate"/>
        </w:r>
        <w:r>
          <w:rPr>
            <w:noProof/>
            <w:webHidden/>
          </w:rPr>
          <w:t>20</w:t>
        </w:r>
        <w:r>
          <w:rPr>
            <w:noProof/>
            <w:webHidden/>
          </w:rPr>
          <w:fldChar w:fldCharType="end"/>
        </w:r>
      </w:hyperlink>
    </w:p>
    <w:p w:rsidR="009B3F42" w:rsidRDefault="009B3F42">
      <w:pPr>
        <w:pStyle w:val="TOC3"/>
        <w:rPr>
          <w:rFonts w:ascii="Calibri" w:hAnsi="Calibri"/>
          <w:kern w:val="2"/>
          <w:lang w:val="en-RU" w:eastAsia="en-GB"/>
        </w:rPr>
      </w:pPr>
      <w:hyperlink w:anchor="_Toc205532866" w:history="1">
        <w:r w:rsidRPr="007302DE">
          <w:rPr>
            <w:rStyle w:val="Hyperlink"/>
          </w:rPr>
          <w:t>К выходу на пенсию в России стоит готовиться заранее – выплат от государства может хватить лишь на базовые потребности. Какие есть способы накопить на пенсию на фондовом рынке? Стоит ли участвовать в программе долгосрочных сбережений (ПДС), запущенной в 2024 году? Какие еще доступны инструменты? Как сформировать портфель, если вы хотите накопить на пенсию с помощью инвестиций самостоятельно, какие риски необходимо учитывать? Finam.ru узнал мнения экспертов. Кроме того, мы собрали несколько вопросов о том, насколько инвесторы финансово подготовлены к будущему. Ответы полностью анонимны — мы просто хотим узнать ваше мнение.</w:t>
        </w:r>
        <w:r>
          <w:rPr>
            <w:webHidden/>
          </w:rPr>
          <w:tab/>
        </w:r>
        <w:r>
          <w:rPr>
            <w:webHidden/>
          </w:rPr>
          <w:fldChar w:fldCharType="begin"/>
        </w:r>
        <w:r>
          <w:rPr>
            <w:webHidden/>
          </w:rPr>
          <w:instrText xml:space="preserve"> PAGEREF _Toc205532866 \h </w:instrText>
        </w:r>
        <w:r>
          <w:rPr>
            <w:webHidden/>
          </w:rPr>
        </w:r>
        <w:r>
          <w:rPr>
            <w:webHidden/>
          </w:rPr>
          <w:fldChar w:fldCharType="separate"/>
        </w:r>
        <w:r>
          <w:rPr>
            <w:webHidden/>
          </w:rPr>
          <w:t>20</w:t>
        </w:r>
        <w:r>
          <w:rPr>
            <w:webHidden/>
          </w:rPr>
          <w:fldChar w:fldCharType="end"/>
        </w:r>
      </w:hyperlink>
    </w:p>
    <w:p w:rsidR="009B3F42" w:rsidRDefault="009B3F42">
      <w:pPr>
        <w:pStyle w:val="TOC2"/>
        <w:tabs>
          <w:tab w:val="right" w:leader="dot" w:pos="9061"/>
        </w:tabs>
        <w:rPr>
          <w:rFonts w:ascii="Calibri" w:hAnsi="Calibri"/>
          <w:noProof/>
          <w:kern w:val="2"/>
          <w:lang w:val="en-RU" w:eastAsia="en-GB"/>
        </w:rPr>
      </w:pPr>
      <w:hyperlink w:anchor="_Toc205532867" w:history="1">
        <w:r w:rsidRPr="007302DE">
          <w:rPr>
            <w:rStyle w:val="Hyperlink"/>
            <w:noProof/>
          </w:rPr>
          <w:t>КонсультантПлюс.Новости, 07.08.2025, ФНС предлагает ввести новые коды вычетов и доходов по НДФЛ с 2026 года</w:t>
        </w:r>
        <w:r>
          <w:rPr>
            <w:noProof/>
            <w:webHidden/>
          </w:rPr>
          <w:tab/>
        </w:r>
        <w:r>
          <w:rPr>
            <w:noProof/>
            <w:webHidden/>
          </w:rPr>
          <w:fldChar w:fldCharType="begin"/>
        </w:r>
        <w:r>
          <w:rPr>
            <w:noProof/>
            <w:webHidden/>
          </w:rPr>
          <w:instrText xml:space="preserve"> PAGEREF _Toc205532867 \h </w:instrText>
        </w:r>
        <w:r>
          <w:rPr>
            <w:noProof/>
            <w:webHidden/>
          </w:rPr>
        </w:r>
        <w:r>
          <w:rPr>
            <w:noProof/>
            <w:webHidden/>
          </w:rPr>
          <w:fldChar w:fldCharType="separate"/>
        </w:r>
        <w:r>
          <w:rPr>
            <w:noProof/>
            <w:webHidden/>
          </w:rPr>
          <w:t>25</w:t>
        </w:r>
        <w:r>
          <w:rPr>
            <w:noProof/>
            <w:webHidden/>
          </w:rPr>
          <w:fldChar w:fldCharType="end"/>
        </w:r>
      </w:hyperlink>
    </w:p>
    <w:p w:rsidR="009B3F42" w:rsidRDefault="009B3F42">
      <w:pPr>
        <w:pStyle w:val="TOC3"/>
        <w:rPr>
          <w:rFonts w:ascii="Calibri" w:hAnsi="Calibri"/>
          <w:kern w:val="2"/>
          <w:lang w:val="en-RU" w:eastAsia="en-GB"/>
        </w:rPr>
      </w:pPr>
      <w:hyperlink w:anchor="_Toc205532868" w:history="1">
        <w:r w:rsidRPr="007302DE">
          <w:rPr>
            <w:rStyle w:val="Hyperlink"/>
          </w:rPr>
          <w:t>Налоговая служба планирует ввести такие коды вычетов:</w:t>
        </w:r>
        <w:r>
          <w:rPr>
            <w:webHidden/>
          </w:rPr>
          <w:tab/>
        </w:r>
        <w:r>
          <w:rPr>
            <w:webHidden/>
          </w:rPr>
          <w:fldChar w:fldCharType="begin"/>
        </w:r>
        <w:r>
          <w:rPr>
            <w:webHidden/>
          </w:rPr>
          <w:instrText xml:space="preserve"> PAGEREF _Toc205532868 \h </w:instrText>
        </w:r>
        <w:r>
          <w:rPr>
            <w:webHidden/>
          </w:rPr>
        </w:r>
        <w:r>
          <w:rPr>
            <w:webHidden/>
          </w:rPr>
          <w:fldChar w:fldCharType="separate"/>
        </w:r>
        <w:r>
          <w:rPr>
            <w:webHidden/>
          </w:rPr>
          <w:t>25</w:t>
        </w:r>
        <w:r>
          <w:rPr>
            <w:webHidden/>
          </w:rPr>
          <w:fldChar w:fldCharType="end"/>
        </w:r>
      </w:hyperlink>
    </w:p>
    <w:p w:rsidR="009B3F42" w:rsidRDefault="009B3F42">
      <w:pPr>
        <w:pStyle w:val="TOC2"/>
        <w:tabs>
          <w:tab w:val="right" w:leader="dot" w:pos="9061"/>
        </w:tabs>
        <w:rPr>
          <w:rFonts w:ascii="Calibri" w:hAnsi="Calibri"/>
          <w:noProof/>
          <w:kern w:val="2"/>
          <w:lang w:val="en-RU" w:eastAsia="en-GB"/>
        </w:rPr>
      </w:pPr>
      <w:hyperlink w:anchor="_Toc205532869" w:history="1">
        <w:r w:rsidRPr="007302DE">
          <w:rPr>
            <w:rStyle w:val="Hyperlink"/>
            <w:noProof/>
          </w:rPr>
          <w:t>Российский государственный педагогический университет им. А. И. Герцена, 07.08.2025, Программа долгосрочных сбережений</w:t>
        </w:r>
        <w:r>
          <w:rPr>
            <w:noProof/>
            <w:webHidden/>
          </w:rPr>
          <w:tab/>
        </w:r>
        <w:r>
          <w:rPr>
            <w:noProof/>
            <w:webHidden/>
          </w:rPr>
          <w:fldChar w:fldCharType="begin"/>
        </w:r>
        <w:r>
          <w:rPr>
            <w:noProof/>
            <w:webHidden/>
          </w:rPr>
          <w:instrText xml:space="preserve"> PAGEREF _Toc205532869 \h </w:instrText>
        </w:r>
        <w:r>
          <w:rPr>
            <w:noProof/>
            <w:webHidden/>
          </w:rPr>
        </w:r>
        <w:r>
          <w:rPr>
            <w:noProof/>
            <w:webHidden/>
          </w:rPr>
          <w:fldChar w:fldCharType="separate"/>
        </w:r>
        <w:r>
          <w:rPr>
            <w:noProof/>
            <w:webHidden/>
          </w:rPr>
          <w:t>25</w:t>
        </w:r>
        <w:r>
          <w:rPr>
            <w:noProof/>
            <w:webHidden/>
          </w:rPr>
          <w:fldChar w:fldCharType="end"/>
        </w:r>
      </w:hyperlink>
    </w:p>
    <w:p w:rsidR="009B3F42" w:rsidRDefault="009B3F42">
      <w:pPr>
        <w:pStyle w:val="TOC3"/>
        <w:rPr>
          <w:rFonts w:ascii="Calibri" w:hAnsi="Calibri"/>
          <w:kern w:val="2"/>
          <w:lang w:val="en-RU" w:eastAsia="en-GB"/>
        </w:rPr>
      </w:pPr>
      <w:hyperlink w:anchor="_Toc205532870" w:history="1">
        <w:r w:rsidRPr="007302DE">
          <w:rPr>
            <w:rStyle w:val="Hyperlink"/>
          </w:rPr>
          <w:t>С января 2024 года в России действует Программа долгосрочных сбережений (ПДС), являющаяся универсальным сберегательным продуктом для граждан России.</w:t>
        </w:r>
        <w:r>
          <w:rPr>
            <w:webHidden/>
          </w:rPr>
          <w:tab/>
        </w:r>
        <w:r>
          <w:rPr>
            <w:webHidden/>
          </w:rPr>
          <w:fldChar w:fldCharType="begin"/>
        </w:r>
        <w:r>
          <w:rPr>
            <w:webHidden/>
          </w:rPr>
          <w:instrText xml:space="preserve"> PAGEREF _Toc205532870 \h </w:instrText>
        </w:r>
        <w:r>
          <w:rPr>
            <w:webHidden/>
          </w:rPr>
        </w:r>
        <w:r>
          <w:rPr>
            <w:webHidden/>
          </w:rPr>
          <w:fldChar w:fldCharType="separate"/>
        </w:r>
        <w:r>
          <w:rPr>
            <w:webHidden/>
          </w:rPr>
          <w:t>25</w:t>
        </w:r>
        <w:r>
          <w:rPr>
            <w:webHidden/>
          </w:rPr>
          <w:fldChar w:fldCharType="end"/>
        </w:r>
      </w:hyperlink>
    </w:p>
    <w:p w:rsidR="009B3F42" w:rsidRDefault="009B3F42">
      <w:pPr>
        <w:pStyle w:val="TOC2"/>
        <w:tabs>
          <w:tab w:val="right" w:leader="dot" w:pos="9061"/>
        </w:tabs>
        <w:rPr>
          <w:rFonts w:ascii="Calibri" w:hAnsi="Calibri"/>
          <w:noProof/>
          <w:kern w:val="2"/>
          <w:lang w:val="en-RU" w:eastAsia="en-GB"/>
        </w:rPr>
      </w:pPr>
      <w:hyperlink w:anchor="_Toc205532871" w:history="1">
        <w:r w:rsidRPr="007302DE">
          <w:rPr>
            <w:rStyle w:val="Hyperlink"/>
            <w:noProof/>
          </w:rPr>
          <w:t>Рязанские ведомости, 07.08.2025, В Рязанской области работает Программа долгосрочных сбережений</w:t>
        </w:r>
        <w:r>
          <w:rPr>
            <w:noProof/>
            <w:webHidden/>
          </w:rPr>
          <w:tab/>
        </w:r>
        <w:r>
          <w:rPr>
            <w:noProof/>
            <w:webHidden/>
          </w:rPr>
          <w:fldChar w:fldCharType="begin"/>
        </w:r>
        <w:r>
          <w:rPr>
            <w:noProof/>
            <w:webHidden/>
          </w:rPr>
          <w:instrText xml:space="preserve"> PAGEREF _Toc205532871 \h </w:instrText>
        </w:r>
        <w:r>
          <w:rPr>
            <w:noProof/>
            <w:webHidden/>
          </w:rPr>
        </w:r>
        <w:r>
          <w:rPr>
            <w:noProof/>
            <w:webHidden/>
          </w:rPr>
          <w:fldChar w:fldCharType="separate"/>
        </w:r>
        <w:r>
          <w:rPr>
            <w:noProof/>
            <w:webHidden/>
          </w:rPr>
          <w:t>26</w:t>
        </w:r>
        <w:r>
          <w:rPr>
            <w:noProof/>
            <w:webHidden/>
          </w:rPr>
          <w:fldChar w:fldCharType="end"/>
        </w:r>
      </w:hyperlink>
    </w:p>
    <w:p w:rsidR="009B3F42" w:rsidRDefault="009B3F42">
      <w:pPr>
        <w:pStyle w:val="TOC3"/>
        <w:rPr>
          <w:rFonts w:ascii="Calibri" w:hAnsi="Calibri"/>
          <w:kern w:val="2"/>
          <w:lang w:val="en-RU" w:eastAsia="en-GB"/>
        </w:rPr>
      </w:pPr>
      <w:hyperlink w:anchor="_Toc205532872" w:history="1">
        <w:r w:rsidRPr="007302DE">
          <w:rPr>
            <w:rStyle w:val="Hyperlink"/>
          </w:rPr>
          <w:t>В Рязанской области с начала года уже заключены более 23 тысяч договоров по Программе долгосрочных сбережений.</w:t>
        </w:r>
        <w:r>
          <w:rPr>
            <w:webHidden/>
          </w:rPr>
          <w:tab/>
        </w:r>
        <w:r>
          <w:rPr>
            <w:webHidden/>
          </w:rPr>
          <w:fldChar w:fldCharType="begin"/>
        </w:r>
        <w:r>
          <w:rPr>
            <w:webHidden/>
          </w:rPr>
          <w:instrText xml:space="preserve"> PAGEREF _Toc205532872 \h </w:instrText>
        </w:r>
        <w:r>
          <w:rPr>
            <w:webHidden/>
          </w:rPr>
        </w:r>
        <w:r>
          <w:rPr>
            <w:webHidden/>
          </w:rPr>
          <w:fldChar w:fldCharType="separate"/>
        </w:r>
        <w:r>
          <w:rPr>
            <w:webHidden/>
          </w:rPr>
          <w:t>26</w:t>
        </w:r>
        <w:r>
          <w:rPr>
            <w:webHidden/>
          </w:rPr>
          <w:fldChar w:fldCharType="end"/>
        </w:r>
      </w:hyperlink>
    </w:p>
    <w:p w:rsidR="009B3F42" w:rsidRDefault="009B3F42">
      <w:pPr>
        <w:pStyle w:val="TOC2"/>
        <w:tabs>
          <w:tab w:val="right" w:leader="dot" w:pos="9061"/>
        </w:tabs>
        <w:rPr>
          <w:rFonts w:ascii="Calibri" w:hAnsi="Calibri"/>
          <w:noProof/>
          <w:kern w:val="2"/>
          <w:lang w:val="en-RU" w:eastAsia="en-GB"/>
        </w:rPr>
      </w:pPr>
      <w:hyperlink w:anchor="_Toc205532873" w:history="1">
        <w:r w:rsidRPr="007302DE">
          <w:rPr>
            <w:rStyle w:val="Hyperlink"/>
            <w:noProof/>
          </w:rPr>
          <w:t>blagoveshensk.bezformata.com, 07.08.2025, ПДС и софинансирование государства для самозанятых и ИП</w:t>
        </w:r>
        <w:r>
          <w:rPr>
            <w:noProof/>
            <w:webHidden/>
          </w:rPr>
          <w:tab/>
        </w:r>
        <w:r>
          <w:rPr>
            <w:noProof/>
            <w:webHidden/>
          </w:rPr>
          <w:fldChar w:fldCharType="begin"/>
        </w:r>
        <w:r>
          <w:rPr>
            <w:noProof/>
            <w:webHidden/>
          </w:rPr>
          <w:instrText xml:space="preserve"> PAGEREF _Toc205532873 \h </w:instrText>
        </w:r>
        <w:r>
          <w:rPr>
            <w:noProof/>
            <w:webHidden/>
          </w:rPr>
        </w:r>
        <w:r>
          <w:rPr>
            <w:noProof/>
            <w:webHidden/>
          </w:rPr>
          <w:fldChar w:fldCharType="separate"/>
        </w:r>
        <w:r>
          <w:rPr>
            <w:noProof/>
            <w:webHidden/>
          </w:rPr>
          <w:t>27</w:t>
        </w:r>
        <w:r>
          <w:rPr>
            <w:noProof/>
            <w:webHidden/>
          </w:rPr>
          <w:fldChar w:fldCharType="end"/>
        </w:r>
      </w:hyperlink>
    </w:p>
    <w:p w:rsidR="009B3F42" w:rsidRDefault="009B3F42">
      <w:pPr>
        <w:pStyle w:val="TOC3"/>
        <w:rPr>
          <w:rFonts w:ascii="Calibri" w:hAnsi="Calibri"/>
          <w:kern w:val="2"/>
          <w:lang w:val="en-RU" w:eastAsia="en-GB"/>
        </w:rPr>
      </w:pPr>
      <w:hyperlink w:anchor="_Toc205532874" w:history="1">
        <w:r w:rsidRPr="007302DE">
          <w:rPr>
            <w:rStyle w:val="Hyperlink"/>
          </w:rPr>
          <w:t>Минфин Амурской области подготовил подборку разъяснений по Программе долгосрочных сбережений (ПДС) для самозанятых и индивидуальных предпринимателей.</w:t>
        </w:r>
        <w:r>
          <w:rPr>
            <w:webHidden/>
          </w:rPr>
          <w:tab/>
        </w:r>
        <w:r>
          <w:rPr>
            <w:webHidden/>
          </w:rPr>
          <w:fldChar w:fldCharType="begin"/>
        </w:r>
        <w:r>
          <w:rPr>
            <w:webHidden/>
          </w:rPr>
          <w:instrText xml:space="preserve"> PAGEREF _Toc205532874 \h </w:instrText>
        </w:r>
        <w:r>
          <w:rPr>
            <w:webHidden/>
          </w:rPr>
        </w:r>
        <w:r>
          <w:rPr>
            <w:webHidden/>
          </w:rPr>
          <w:fldChar w:fldCharType="separate"/>
        </w:r>
        <w:r>
          <w:rPr>
            <w:webHidden/>
          </w:rPr>
          <w:t>27</w:t>
        </w:r>
        <w:r>
          <w:rPr>
            <w:webHidden/>
          </w:rPr>
          <w:fldChar w:fldCharType="end"/>
        </w:r>
      </w:hyperlink>
    </w:p>
    <w:p w:rsidR="009B3F42" w:rsidRDefault="009B3F42">
      <w:pPr>
        <w:pStyle w:val="TOC2"/>
        <w:tabs>
          <w:tab w:val="right" w:leader="dot" w:pos="9061"/>
        </w:tabs>
        <w:rPr>
          <w:rFonts w:ascii="Calibri" w:hAnsi="Calibri"/>
          <w:noProof/>
          <w:kern w:val="2"/>
          <w:lang w:val="en-RU" w:eastAsia="en-GB"/>
        </w:rPr>
      </w:pPr>
      <w:hyperlink w:anchor="_Toc205532875" w:history="1">
        <w:r w:rsidRPr="007302DE">
          <w:rPr>
            <w:rStyle w:val="Hyperlink"/>
            <w:noProof/>
          </w:rPr>
          <w:t>Лента новостей Ямала, 07.08.2025, Долгосрочные сбережения – фундамент для финансовой стабильности в будущем</w:t>
        </w:r>
        <w:r>
          <w:rPr>
            <w:noProof/>
            <w:webHidden/>
          </w:rPr>
          <w:tab/>
        </w:r>
        <w:r>
          <w:rPr>
            <w:noProof/>
            <w:webHidden/>
          </w:rPr>
          <w:fldChar w:fldCharType="begin"/>
        </w:r>
        <w:r>
          <w:rPr>
            <w:noProof/>
            <w:webHidden/>
          </w:rPr>
          <w:instrText xml:space="preserve"> PAGEREF _Toc205532875 \h </w:instrText>
        </w:r>
        <w:r>
          <w:rPr>
            <w:noProof/>
            <w:webHidden/>
          </w:rPr>
        </w:r>
        <w:r>
          <w:rPr>
            <w:noProof/>
            <w:webHidden/>
          </w:rPr>
          <w:fldChar w:fldCharType="separate"/>
        </w:r>
        <w:r>
          <w:rPr>
            <w:noProof/>
            <w:webHidden/>
          </w:rPr>
          <w:t>27</w:t>
        </w:r>
        <w:r>
          <w:rPr>
            <w:noProof/>
            <w:webHidden/>
          </w:rPr>
          <w:fldChar w:fldCharType="end"/>
        </w:r>
      </w:hyperlink>
    </w:p>
    <w:p w:rsidR="009B3F42" w:rsidRDefault="009B3F42">
      <w:pPr>
        <w:pStyle w:val="TOC3"/>
        <w:rPr>
          <w:rFonts w:ascii="Calibri" w:hAnsi="Calibri"/>
          <w:kern w:val="2"/>
          <w:lang w:val="en-RU" w:eastAsia="en-GB"/>
        </w:rPr>
      </w:pPr>
      <w:hyperlink w:anchor="_Toc205532876" w:history="1">
        <w:r w:rsidRPr="007302DE">
          <w:rPr>
            <w:rStyle w:val="Hyperlink"/>
          </w:rPr>
          <w:t>Долгосрочные сбережения – фундамент для финансовой стабильности в будущем. Хранить деньги в заначке под матрасом имеет свои минусы, ведь сколько ни оставь, сумма не прибавится. С программой долгосрочных сбережений можно приумножить свои средства!</w:t>
        </w:r>
        <w:r>
          <w:rPr>
            <w:webHidden/>
          </w:rPr>
          <w:tab/>
        </w:r>
        <w:r>
          <w:rPr>
            <w:webHidden/>
          </w:rPr>
          <w:fldChar w:fldCharType="begin"/>
        </w:r>
        <w:r>
          <w:rPr>
            <w:webHidden/>
          </w:rPr>
          <w:instrText xml:space="preserve"> PAGEREF _Toc205532876 \h </w:instrText>
        </w:r>
        <w:r>
          <w:rPr>
            <w:webHidden/>
          </w:rPr>
        </w:r>
        <w:r>
          <w:rPr>
            <w:webHidden/>
          </w:rPr>
          <w:fldChar w:fldCharType="separate"/>
        </w:r>
        <w:r>
          <w:rPr>
            <w:webHidden/>
          </w:rPr>
          <w:t>27</w:t>
        </w:r>
        <w:r>
          <w:rPr>
            <w:webHidden/>
          </w:rPr>
          <w:fldChar w:fldCharType="end"/>
        </w:r>
      </w:hyperlink>
    </w:p>
    <w:p w:rsidR="009B3F42" w:rsidRDefault="009B3F42">
      <w:pPr>
        <w:pStyle w:val="TOC1"/>
        <w:tabs>
          <w:tab w:val="right" w:leader="dot" w:pos="9061"/>
        </w:tabs>
        <w:rPr>
          <w:rFonts w:ascii="Calibri" w:hAnsi="Calibri"/>
          <w:b w:val="0"/>
          <w:noProof/>
          <w:kern w:val="2"/>
          <w:sz w:val="24"/>
          <w:lang w:val="en-RU" w:eastAsia="en-GB"/>
        </w:rPr>
      </w:pPr>
      <w:hyperlink w:anchor="_Toc205532877" w:history="1">
        <w:r w:rsidRPr="007302DE">
          <w:rPr>
            <w:rStyle w:val="Hyperlink"/>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_Toc205532877 \h </w:instrText>
        </w:r>
        <w:r>
          <w:rPr>
            <w:noProof/>
            <w:webHidden/>
          </w:rPr>
        </w:r>
        <w:r>
          <w:rPr>
            <w:noProof/>
            <w:webHidden/>
          </w:rPr>
          <w:fldChar w:fldCharType="separate"/>
        </w:r>
        <w:r>
          <w:rPr>
            <w:noProof/>
            <w:webHidden/>
          </w:rPr>
          <w:t>28</w:t>
        </w:r>
        <w:r>
          <w:rPr>
            <w:noProof/>
            <w:webHidden/>
          </w:rPr>
          <w:fldChar w:fldCharType="end"/>
        </w:r>
      </w:hyperlink>
    </w:p>
    <w:p w:rsidR="009B3F42" w:rsidRDefault="009B3F42">
      <w:pPr>
        <w:pStyle w:val="TOC2"/>
        <w:tabs>
          <w:tab w:val="right" w:leader="dot" w:pos="9061"/>
        </w:tabs>
        <w:rPr>
          <w:rFonts w:ascii="Calibri" w:hAnsi="Calibri"/>
          <w:noProof/>
          <w:kern w:val="2"/>
          <w:lang w:val="en-RU" w:eastAsia="en-GB"/>
        </w:rPr>
      </w:pPr>
      <w:hyperlink w:anchor="_Toc205532878" w:history="1">
        <w:r w:rsidRPr="007302DE">
          <w:rPr>
            <w:rStyle w:val="Hyperlink"/>
            <w:noProof/>
          </w:rPr>
          <w:t>Парламентская газета, 08.08.2025, Соцдоплату к пенсии назначат по новым правилам</w:t>
        </w:r>
        <w:r>
          <w:rPr>
            <w:noProof/>
            <w:webHidden/>
          </w:rPr>
          <w:tab/>
        </w:r>
        <w:r>
          <w:rPr>
            <w:noProof/>
            <w:webHidden/>
          </w:rPr>
          <w:fldChar w:fldCharType="begin"/>
        </w:r>
        <w:r>
          <w:rPr>
            <w:noProof/>
            <w:webHidden/>
          </w:rPr>
          <w:instrText xml:space="preserve"> PAGEREF _Toc205532878 \h </w:instrText>
        </w:r>
        <w:r>
          <w:rPr>
            <w:noProof/>
            <w:webHidden/>
          </w:rPr>
        </w:r>
        <w:r>
          <w:rPr>
            <w:noProof/>
            <w:webHidden/>
          </w:rPr>
          <w:fldChar w:fldCharType="separate"/>
        </w:r>
        <w:r>
          <w:rPr>
            <w:noProof/>
            <w:webHidden/>
          </w:rPr>
          <w:t>28</w:t>
        </w:r>
        <w:r>
          <w:rPr>
            <w:noProof/>
            <w:webHidden/>
          </w:rPr>
          <w:fldChar w:fldCharType="end"/>
        </w:r>
      </w:hyperlink>
    </w:p>
    <w:p w:rsidR="009B3F42" w:rsidRDefault="009B3F42">
      <w:pPr>
        <w:pStyle w:val="TOC3"/>
        <w:rPr>
          <w:rFonts w:ascii="Calibri" w:hAnsi="Calibri"/>
          <w:kern w:val="2"/>
          <w:lang w:val="en-RU" w:eastAsia="en-GB"/>
        </w:rPr>
      </w:pPr>
      <w:hyperlink w:anchor="_Toc205532879" w:history="1">
        <w:r w:rsidRPr="007302DE">
          <w:rPr>
            <w:rStyle w:val="Hyperlink"/>
          </w:rPr>
          <w:t>Соцфонд будет назначать соцдоплаты к пенсиям в течение пяти рабочих дней с момента получения сведений о положенных пенсионеру видах соцподдержки. Предполагающее это постановление Правительства вступает в силу 1 января 2026 года. «Парламентская газета» узнала подробности.</w:t>
        </w:r>
        <w:r>
          <w:rPr>
            <w:webHidden/>
          </w:rPr>
          <w:tab/>
        </w:r>
        <w:r>
          <w:rPr>
            <w:webHidden/>
          </w:rPr>
          <w:fldChar w:fldCharType="begin"/>
        </w:r>
        <w:r>
          <w:rPr>
            <w:webHidden/>
          </w:rPr>
          <w:instrText xml:space="preserve"> PAGEREF _Toc205532879 \h </w:instrText>
        </w:r>
        <w:r>
          <w:rPr>
            <w:webHidden/>
          </w:rPr>
        </w:r>
        <w:r>
          <w:rPr>
            <w:webHidden/>
          </w:rPr>
          <w:fldChar w:fldCharType="separate"/>
        </w:r>
        <w:r>
          <w:rPr>
            <w:webHidden/>
          </w:rPr>
          <w:t>28</w:t>
        </w:r>
        <w:r>
          <w:rPr>
            <w:webHidden/>
          </w:rPr>
          <w:fldChar w:fldCharType="end"/>
        </w:r>
      </w:hyperlink>
    </w:p>
    <w:p w:rsidR="009B3F42" w:rsidRDefault="009B3F42">
      <w:pPr>
        <w:pStyle w:val="TOC2"/>
        <w:tabs>
          <w:tab w:val="right" w:leader="dot" w:pos="9061"/>
        </w:tabs>
        <w:rPr>
          <w:rFonts w:ascii="Calibri" w:hAnsi="Calibri"/>
          <w:noProof/>
          <w:kern w:val="2"/>
          <w:lang w:val="en-RU" w:eastAsia="en-GB"/>
        </w:rPr>
      </w:pPr>
      <w:hyperlink w:anchor="_Toc205532880" w:history="1">
        <w:r w:rsidRPr="007302DE">
          <w:rPr>
            <w:rStyle w:val="Hyperlink"/>
            <w:noProof/>
          </w:rPr>
          <w:t>RT, 07.08.2025, Сенатор Епифанова рассказала, кому положены льготы по имущественному налогу</w:t>
        </w:r>
        <w:r>
          <w:rPr>
            <w:noProof/>
            <w:webHidden/>
          </w:rPr>
          <w:tab/>
        </w:r>
        <w:r>
          <w:rPr>
            <w:noProof/>
            <w:webHidden/>
          </w:rPr>
          <w:fldChar w:fldCharType="begin"/>
        </w:r>
        <w:r>
          <w:rPr>
            <w:noProof/>
            <w:webHidden/>
          </w:rPr>
          <w:instrText xml:space="preserve"> PAGEREF _Toc205532880 \h </w:instrText>
        </w:r>
        <w:r>
          <w:rPr>
            <w:noProof/>
            <w:webHidden/>
          </w:rPr>
        </w:r>
        <w:r>
          <w:rPr>
            <w:noProof/>
            <w:webHidden/>
          </w:rPr>
          <w:fldChar w:fldCharType="separate"/>
        </w:r>
        <w:r>
          <w:rPr>
            <w:noProof/>
            <w:webHidden/>
          </w:rPr>
          <w:t>29</w:t>
        </w:r>
        <w:r>
          <w:rPr>
            <w:noProof/>
            <w:webHidden/>
          </w:rPr>
          <w:fldChar w:fldCharType="end"/>
        </w:r>
      </w:hyperlink>
    </w:p>
    <w:p w:rsidR="009B3F42" w:rsidRDefault="009B3F42">
      <w:pPr>
        <w:pStyle w:val="TOC3"/>
        <w:rPr>
          <w:rFonts w:ascii="Calibri" w:hAnsi="Calibri"/>
          <w:kern w:val="2"/>
          <w:lang w:val="en-RU" w:eastAsia="en-GB"/>
        </w:rPr>
      </w:pPr>
      <w:hyperlink w:anchor="_Toc205532881" w:history="1">
        <w:r w:rsidRPr="007302DE">
          <w:rPr>
            <w:rStyle w:val="Hyperlink"/>
          </w:rPr>
          <w:t>На федеральном уровне в России для пенсионеров и граждан предпенсионного возраста, являющихся владельцами дачных участков, действуют некоторые льготы. Прежде всего они касаются налогообложения, напомнила в беседе с RT сенатор, председатель общероссийского общественного движения «Социал-демократический союз женщин России» Ольга Епифанова.</w:t>
        </w:r>
        <w:r>
          <w:rPr>
            <w:webHidden/>
          </w:rPr>
          <w:tab/>
        </w:r>
        <w:r>
          <w:rPr>
            <w:webHidden/>
          </w:rPr>
          <w:fldChar w:fldCharType="begin"/>
        </w:r>
        <w:r>
          <w:rPr>
            <w:webHidden/>
          </w:rPr>
          <w:instrText xml:space="preserve"> PAGEREF _Toc205532881 \h </w:instrText>
        </w:r>
        <w:r>
          <w:rPr>
            <w:webHidden/>
          </w:rPr>
        </w:r>
        <w:r>
          <w:rPr>
            <w:webHidden/>
          </w:rPr>
          <w:fldChar w:fldCharType="separate"/>
        </w:r>
        <w:r>
          <w:rPr>
            <w:webHidden/>
          </w:rPr>
          <w:t>29</w:t>
        </w:r>
        <w:r>
          <w:rPr>
            <w:webHidden/>
          </w:rPr>
          <w:fldChar w:fldCharType="end"/>
        </w:r>
      </w:hyperlink>
    </w:p>
    <w:p w:rsidR="009B3F42" w:rsidRDefault="009B3F42">
      <w:pPr>
        <w:pStyle w:val="TOC2"/>
        <w:tabs>
          <w:tab w:val="right" w:leader="dot" w:pos="9061"/>
        </w:tabs>
        <w:rPr>
          <w:rFonts w:ascii="Calibri" w:hAnsi="Calibri"/>
          <w:noProof/>
          <w:kern w:val="2"/>
          <w:lang w:val="en-RU" w:eastAsia="en-GB"/>
        </w:rPr>
      </w:pPr>
      <w:hyperlink w:anchor="_Toc205532882" w:history="1">
        <w:r w:rsidRPr="007302DE">
          <w:rPr>
            <w:rStyle w:val="Hyperlink"/>
            <w:noProof/>
          </w:rPr>
          <w:t>СенатИнформ, 07.08.2025, Размер будущей пенсии по старости можно узнать самостоятельно</w:t>
        </w:r>
        <w:r>
          <w:rPr>
            <w:noProof/>
            <w:webHidden/>
          </w:rPr>
          <w:tab/>
        </w:r>
        <w:r>
          <w:rPr>
            <w:noProof/>
            <w:webHidden/>
          </w:rPr>
          <w:fldChar w:fldCharType="begin"/>
        </w:r>
        <w:r>
          <w:rPr>
            <w:noProof/>
            <w:webHidden/>
          </w:rPr>
          <w:instrText xml:space="preserve"> PAGEREF _Toc205532882 \h </w:instrText>
        </w:r>
        <w:r>
          <w:rPr>
            <w:noProof/>
            <w:webHidden/>
          </w:rPr>
        </w:r>
        <w:r>
          <w:rPr>
            <w:noProof/>
            <w:webHidden/>
          </w:rPr>
          <w:fldChar w:fldCharType="separate"/>
        </w:r>
        <w:r>
          <w:rPr>
            <w:noProof/>
            <w:webHidden/>
          </w:rPr>
          <w:t>30</w:t>
        </w:r>
        <w:r>
          <w:rPr>
            <w:noProof/>
            <w:webHidden/>
          </w:rPr>
          <w:fldChar w:fldCharType="end"/>
        </w:r>
      </w:hyperlink>
    </w:p>
    <w:p w:rsidR="009B3F42" w:rsidRDefault="009B3F42">
      <w:pPr>
        <w:pStyle w:val="TOC3"/>
        <w:rPr>
          <w:rFonts w:ascii="Calibri" w:hAnsi="Calibri"/>
          <w:kern w:val="2"/>
          <w:lang w:val="en-RU" w:eastAsia="en-GB"/>
        </w:rPr>
      </w:pPr>
      <w:hyperlink w:anchor="_Toc205532883" w:history="1">
        <w:r w:rsidRPr="007302DE">
          <w:rPr>
            <w:rStyle w:val="Hyperlink"/>
          </w:rPr>
          <w:t>Чтобы узнать, какой будет будущая страховая пенсия по старости, лучше воспользоваться специальной формулой и данными из выписки из лицевого счёта. Об этом рассказал портал «Госуслуги» в своём официальном Telegram-канале.</w:t>
        </w:r>
        <w:r>
          <w:rPr>
            <w:webHidden/>
          </w:rPr>
          <w:tab/>
        </w:r>
        <w:r>
          <w:rPr>
            <w:webHidden/>
          </w:rPr>
          <w:fldChar w:fldCharType="begin"/>
        </w:r>
        <w:r>
          <w:rPr>
            <w:webHidden/>
          </w:rPr>
          <w:instrText xml:space="preserve"> PAGEREF _Toc205532883 \h </w:instrText>
        </w:r>
        <w:r>
          <w:rPr>
            <w:webHidden/>
          </w:rPr>
        </w:r>
        <w:r>
          <w:rPr>
            <w:webHidden/>
          </w:rPr>
          <w:fldChar w:fldCharType="separate"/>
        </w:r>
        <w:r>
          <w:rPr>
            <w:webHidden/>
          </w:rPr>
          <w:t>30</w:t>
        </w:r>
        <w:r>
          <w:rPr>
            <w:webHidden/>
          </w:rPr>
          <w:fldChar w:fldCharType="end"/>
        </w:r>
      </w:hyperlink>
    </w:p>
    <w:p w:rsidR="009B3F42" w:rsidRDefault="009B3F42">
      <w:pPr>
        <w:pStyle w:val="TOC2"/>
        <w:tabs>
          <w:tab w:val="right" w:leader="dot" w:pos="9061"/>
        </w:tabs>
        <w:rPr>
          <w:rFonts w:ascii="Calibri" w:hAnsi="Calibri"/>
          <w:noProof/>
          <w:kern w:val="2"/>
          <w:lang w:val="en-RU" w:eastAsia="en-GB"/>
        </w:rPr>
      </w:pPr>
      <w:hyperlink w:anchor="_Toc205532884" w:history="1">
        <w:r w:rsidRPr="007302DE">
          <w:rPr>
            <w:rStyle w:val="Hyperlink"/>
            <w:noProof/>
          </w:rPr>
          <w:t>Коммерсантъ, 07.08.2025, Число пенсионеров в РФ на 1 июля составило 40,8 млн человек</w:t>
        </w:r>
        <w:r>
          <w:rPr>
            <w:noProof/>
            <w:webHidden/>
          </w:rPr>
          <w:tab/>
        </w:r>
        <w:r>
          <w:rPr>
            <w:noProof/>
            <w:webHidden/>
          </w:rPr>
          <w:fldChar w:fldCharType="begin"/>
        </w:r>
        <w:r>
          <w:rPr>
            <w:noProof/>
            <w:webHidden/>
          </w:rPr>
          <w:instrText xml:space="preserve"> PAGEREF _Toc205532884 \h </w:instrText>
        </w:r>
        <w:r>
          <w:rPr>
            <w:noProof/>
            <w:webHidden/>
          </w:rPr>
        </w:r>
        <w:r>
          <w:rPr>
            <w:noProof/>
            <w:webHidden/>
          </w:rPr>
          <w:fldChar w:fldCharType="separate"/>
        </w:r>
        <w:r>
          <w:rPr>
            <w:noProof/>
            <w:webHidden/>
          </w:rPr>
          <w:t>31</w:t>
        </w:r>
        <w:r>
          <w:rPr>
            <w:noProof/>
            <w:webHidden/>
          </w:rPr>
          <w:fldChar w:fldCharType="end"/>
        </w:r>
      </w:hyperlink>
    </w:p>
    <w:p w:rsidR="009B3F42" w:rsidRDefault="009B3F42">
      <w:pPr>
        <w:pStyle w:val="TOC3"/>
        <w:rPr>
          <w:rFonts w:ascii="Calibri" w:hAnsi="Calibri"/>
          <w:kern w:val="2"/>
          <w:lang w:val="en-RU" w:eastAsia="en-GB"/>
        </w:rPr>
      </w:pPr>
      <w:hyperlink w:anchor="_Toc205532885" w:history="1">
        <w:r w:rsidRPr="007302DE">
          <w:rPr>
            <w:rStyle w:val="Hyperlink"/>
          </w:rPr>
          <w:t>Численность пенсионеров в России на 1 июля 2025 года достигла 40,8 млн человек, свидетельствуют данные Соцфонда, имеющиеся в распоряжении «РИА Новости». За I полугодие показатель сократился: в начале года на учете состояло почти 41,2 млн граждан.</w:t>
        </w:r>
        <w:r>
          <w:rPr>
            <w:webHidden/>
          </w:rPr>
          <w:tab/>
        </w:r>
        <w:r>
          <w:rPr>
            <w:webHidden/>
          </w:rPr>
          <w:fldChar w:fldCharType="begin"/>
        </w:r>
        <w:r>
          <w:rPr>
            <w:webHidden/>
          </w:rPr>
          <w:instrText xml:space="preserve"> PAGEREF _Toc205532885 \h </w:instrText>
        </w:r>
        <w:r>
          <w:rPr>
            <w:webHidden/>
          </w:rPr>
        </w:r>
        <w:r>
          <w:rPr>
            <w:webHidden/>
          </w:rPr>
          <w:fldChar w:fldCharType="separate"/>
        </w:r>
        <w:r>
          <w:rPr>
            <w:webHidden/>
          </w:rPr>
          <w:t>31</w:t>
        </w:r>
        <w:r>
          <w:rPr>
            <w:webHidden/>
          </w:rPr>
          <w:fldChar w:fldCharType="end"/>
        </w:r>
      </w:hyperlink>
    </w:p>
    <w:p w:rsidR="009B3F42" w:rsidRDefault="009B3F42">
      <w:pPr>
        <w:pStyle w:val="TOC2"/>
        <w:tabs>
          <w:tab w:val="right" w:leader="dot" w:pos="9061"/>
        </w:tabs>
        <w:rPr>
          <w:rFonts w:ascii="Calibri" w:hAnsi="Calibri"/>
          <w:noProof/>
          <w:kern w:val="2"/>
          <w:lang w:val="en-RU" w:eastAsia="en-GB"/>
        </w:rPr>
      </w:pPr>
      <w:hyperlink w:anchor="_Toc205532886" w:history="1">
        <w:r w:rsidRPr="007302DE">
          <w:rPr>
            <w:rStyle w:val="Hyperlink"/>
            <w:noProof/>
          </w:rPr>
          <w:t>РИА Время, 07.08.2025, С августа работающих пенсионеров ждет прибавка к пенсии</w:t>
        </w:r>
        <w:r>
          <w:rPr>
            <w:noProof/>
            <w:webHidden/>
          </w:rPr>
          <w:tab/>
        </w:r>
        <w:r>
          <w:rPr>
            <w:noProof/>
            <w:webHidden/>
          </w:rPr>
          <w:fldChar w:fldCharType="begin"/>
        </w:r>
        <w:r>
          <w:rPr>
            <w:noProof/>
            <w:webHidden/>
          </w:rPr>
          <w:instrText xml:space="preserve"> PAGEREF _Toc205532886 \h </w:instrText>
        </w:r>
        <w:r>
          <w:rPr>
            <w:noProof/>
            <w:webHidden/>
          </w:rPr>
        </w:r>
        <w:r>
          <w:rPr>
            <w:noProof/>
            <w:webHidden/>
          </w:rPr>
          <w:fldChar w:fldCharType="separate"/>
        </w:r>
        <w:r>
          <w:rPr>
            <w:noProof/>
            <w:webHidden/>
          </w:rPr>
          <w:t>31</w:t>
        </w:r>
        <w:r>
          <w:rPr>
            <w:noProof/>
            <w:webHidden/>
          </w:rPr>
          <w:fldChar w:fldCharType="end"/>
        </w:r>
      </w:hyperlink>
    </w:p>
    <w:p w:rsidR="009B3F42" w:rsidRDefault="009B3F42">
      <w:pPr>
        <w:pStyle w:val="TOC3"/>
        <w:rPr>
          <w:rFonts w:ascii="Calibri" w:hAnsi="Calibri"/>
          <w:kern w:val="2"/>
          <w:lang w:val="en-RU" w:eastAsia="en-GB"/>
        </w:rPr>
      </w:pPr>
      <w:hyperlink w:anchor="_Toc205532887" w:history="1">
        <w:r w:rsidRPr="007302DE">
          <w:rPr>
            <w:rStyle w:val="Hyperlink"/>
          </w:rPr>
          <w:t>С 1 августа Социальный фонд России увеличил страховые пенсии пенсионерам, которые продолжали трудиться в 2024 году. Перерасчет коснулся 9,6 миллиона человек.</w:t>
        </w:r>
        <w:r>
          <w:rPr>
            <w:webHidden/>
          </w:rPr>
          <w:tab/>
        </w:r>
        <w:r>
          <w:rPr>
            <w:webHidden/>
          </w:rPr>
          <w:fldChar w:fldCharType="begin"/>
        </w:r>
        <w:r>
          <w:rPr>
            <w:webHidden/>
          </w:rPr>
          <w:instrText xml:space="preserve"> PAGEREF _Toc205532887 \h </w:instrText>
        </w:r>
        <w:r>
          <w:rPr>
            <w:webHidden/>
          </w:rPr>
        </w:r>
        <w:r>
          <w:rPr>
            <w:webHidden/>
          </w:rPr>
          <w:fldChar w:fldCharType="separate"/>
        </w:r>
        <w:r>
          <w:rPr>
            <w:webHidden/>
          </w:rPr>
          <w:t>31</w:t>
        </w:r>
        <w:r>
          <w:rPr>
            <w:webHidden/>
          </w:rPr>
          <w:fldChar w:fldCharType="end"/>
        </w:r>
      </w:hyperlink>
    </w:p>
    <w:p w:rsidR="009B3F42" w:rsidRDefault="009B3F42">
      <w:pPr>
        <w:pStyle w:val="TOC2"/>
        <w:tabs>
          <w:tab w:val="right" w:leader="dot" w:pos="9061"/>
        </w:tabs>
        <w:rPr>
          <w:rFonts w:ascii="Calibri" w:hAnsi="Calibri"/>
          <w:noProof/>
          <w:kern w:val="2"/>
          <w:lang w:val="en-RU" w:eastAsia="en-GB"/>
        </w:rPr>
      </w:pPr>
      <w:hyperlink w:anchor="_Toc205532888" w:history="1">
        <w:r w:rsidRPr="007302DE">
          <w:rPr>
            <w:rStyle w:val="Hyperlink"/>
            <w:noProof/>
          </w:rPr>
          <w:t>Красная весна, 07.08.2025, Соцфонд назвал число пенсионеров в России</w:t>
        </w:r>
        <w:r>
          <w:rPr>
            <w:noProof/>
            <w:webHidden/>
          </w:rPr>
          <w:tab/>
        </w:r>
        <w:r>
          <w:rPr>
            <w:noProof/>
            <w:webHidden/>
          </w:rPr>
          <w:fldChar w:fldCharType="begin"/>
        </w:r>
        <w:r>
          <w:rPr>
            <w:noProof/>
            <w:webHidden/>
          </w:rPr>
          <w:instrText xml:space="preserve"> PAGEREF _Toc205532888 \h </w:instrText>
        </w:r>
        <w:r>
          <w:rPr>
            <w:noProof/>
            <w:webHidden/>
          </w:rPr>
        </w:r>
        <w:r>
          <w:rPr>
            <w:noProof/>
            <w:webHidden/>
          </w:rPr>
          <w:fldChar w:fldCharType="separate"/>
        </w:r>
        <w:r>
          <w:rPr>
            <w:noProof/>
            <w:webHidden/>
          </w:rPr>
          <w:t>32</w:t>
        </w:r>
        <w:r>
          <w:rPr>
            <w:noProof/>
            <w:webHidden/>
          </w:rPr>
          <w:fldChar w:fldCharType="end"/>
        </w:r>
      </w:hyperlink>
    </w:p>
    <w:p w:rsidR="009B3F42" w:rsidRDefault="009B3F42">
      <w:pPr>
        <w:pStyle w:val="TOC3"/>
        <w:rPr>
          <w:rFonts w:ascii="Calibri" w:hAnsi="Calibri"/>
          <w:kern w:val="2"/>
          <w:lang w:val="en-RU" w:eastAsia="en-GB"/>
        </w:rPr>
      </w:pPr>
      <w:hyperlink w:anchor="_Toc205532889" w:history="1">
        <w:r w:rsidRPr="007302DE">
          <w:rPr>
            <w:rStyle w:val="Hyperlink"/>
          </w:rPr>
          <w:t>41 млн человек на 1 июля 2025 года зафиксированы в системе Социального фонда России, 7 августа сообщает РИА Новости, ссылаясь на его сведения. Напомним, 7 августа по радио «Вести ФМ» при объявлении числа пенсионеров добавили, что почти треть пенсионеров продолжают работать, или, скорее, вынуждены при малой пенсии иметь дополнительный заработок.</w:t>
        </w:r>
        <w:r>
          <w:rPr>
            <w:webHidden/>
          </w:rPr>
          <w:tab/>
        </w:r>
        <w:r>
          <w:rPr>
            <w:webHidden/>
          </w:rPr>
          <w:fldChar w:fldCharType="begin"/>
        </w:r>
        <w:r>
          <w:rPr>
            <w:webHidden/>
          </w:rPr>
          <w:instrText xml:space="preserve"> PAGEREF _Toc205532889 \h </w:instrText>
        </w:r>
        <w:r>
          <w:rPr>
            <w:webHidden/>
          </w:rPr>
        </w:r>
        <w:r>
          <w:rPr>
            <w:webHidden/>
          </w:rPr>
          <w:fldChar w:fldCharType="separate"/>
        </w:r>
        <w:r>
          <w:rPr>
            <w:webHidden/>
          </w:rPr>
          <w:t>32</w:t>
        </w:r>
        <w:r>
          <w:rPr>
            <w:webHidden/>
          </w:rPr>
          <w:fldChar w:fldCharType="end"/>
        </w:r>
      </w:hyperlink>
    </w:p>
    <w:p w:rsidR="009B3F42" w:rsidRDefault="009B3F42">
      <w:pPr>
        <w:pStyle w:val="TOC2"/>
        <w:tabs>
          <w:tab w:val="right" w:leader="dot" w:pos="9061"/>
        </w:tabs>
        <w:rPr>
          <w:rFonts w:ascii="Calibri" w:hAnsi="Calibri"/>
          <w:noProof/>
          <w:kern w:val="2"/>
          <w:lang w:val="en-RU" w:eastAsia="en-GB"/>
        </w:rPr>
      </w:pPr>
      <w:hyperlink w:anchor="_Toc205532890" w:history="1">
        <w:r w:rsidRPr="007302DE">
          <w:rPr>
            <w:rStyle w:val="Hyperlink"/>
            <w:noProof/>
          </w:rPr>
          <w:t>PensNews, 07.08.2025, С 1 сентября 2025 года всем пенсионерам добавят 10 000 рублей: кто получит первым</w:t>
        </w:r>
        <w:r>
          <w:rPr>
            <w:noProof/>
            <w:webHidden/>
          </w:rPr>
          <w:tab/>
        </w:r>
        <w:r>
          <w:rPr>
            <w:noProof/>
            <w:webHidden/>
          </w:rPr>
          <w:fldChar w:fldCharType="begin"/>
        </w:r>
        <w:r>
          <w:rPr>
            <w:noProof/>
            <w:webHidden/>
          </w:rPr>
          <w:instrText xml:space="preserve"> PAGEREF _Toc205532890 \h </w:instrText>
        </w:r>
        <w:r>
          <w:rPr>
            <w:noProof/>
            <w:webHidden/>
          </w:rPr>
        </w:r>
        <w:r>
          <w:rPr>
            <w:noProof/>
            <w:webHidden/>
          </w:rPr>
          <w:fldChar w:fldCharType="separate"/>
        </w:r>
        <w:r>
          <w:rPr>
            <w:noProof/>
            <w:webHidden/>
          </w:rPr>
          <w:t>33</w:t>
        </w:r>
        <w:r>
          <w:rPr>
            <w:noProof/>
            <w:webHidden/>
          </w:rPr>
          <w:fldChar w:fldCharType="end"/>
        </w:r>
      </w:hyperlink>
    </w:p>
    <w:p w:rsidR="009B3F42" w:rsidRDefault="009B3F42">
      <w:pPr>
        <w:pStyle w:val="TOC3"/>
        <w:rPr>
          <w:rFonts w:ascii="Calibri" w:hAnsi="Calibri"/>
          <w:kern w:val="2"/>
          <w:lang w:val="en-RU" w:eastAsia="en-GB"/>
        </w:rPr>
      </w:pPr>
      <w:hyperlink w:anchor="_Toc205532891" w:history="1">
        <w:r w:rsidRPr="007302DE">
          <w:rPr>
            <w:rStyle w:val="Hyperlink"/>
          </w:rPr>
          <w:t>Получатели страховых пенсий по старости, которым в августе 2025 года исполнилось 80 лет, получат повышенные выплаты уже в сентябре. Об этом сообщил кандидат экономических наук,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_Toc205532891 \h </w:instrText>
        </w:r>
        <w:r>
          <w:rPr>
            <w:webHidden/>
          </w:rPr>
        </w:r>
        <w:r>
          <w:rPr>
            <w:webHidden/>
          </w:rPr>
          <w:fldChar w:fldCharType="separate"/>
        </w:r>
        <w:r>
          <w:rPr>
            <w:webHidden/>
          </w:rPr>
          <w:t>33</w:t>
        </w:r>
        <w:r>
          <w:rPr>
            <w:webHidden/>
          </w:rPr>
          <w:fldChar w:fldCharType="end"/>
        </w:r>
      </w:hyperlink>
    </w:p>
    <w:p w:rsidR="009B3F42" w:rsidRDefault="009B3F42">
      <w:pPr>
        <w:pStyle w:val="TOC2"/>
        <w:tabs>
          <w:tab w:val="right" w:leader="dot" w:pos="9061"/>
        </w:tabs>
        <w:rPr>
          <w:rFonts w:ascii="Calibri" w:hAnsi="Calibri"/>
          <w:noProof/>
          <w:kern w:val="2"/>
          <w:lang w:val="en-RU" w:eastAsia="en-GB"/>
        </w:rPr>
      </w:pPr>
      <w:hyperlink w:anchor="_Toc205532892" w:history="1">
        <w:r w:rsidRPr="007302DE">
          <w:rPr>
            <w:rStyle w:val="Hyperlink"/>
            <w:noProof/>
          </w:rPr>
          <w:t>АиФ, 07.08.2025, Список определен. Кому поднимут зарплаты и пенсии этой осенью</w:t>
        </w:r>
        <w:r>
          <w:rPr>
            <w:noProof/>
            <w:webHidden/>
          </w:rPr>
          <w:tab/>
        </w:r>
        <w:r>
          <w:rPr>
            <w:noProof/>
            <w:webHidden/>
          </w:rPr>
          <w:fldChar w:fldCharType="begin"/>
        </w:r>
        <w:r>
          <w:rPr>
            <w:noProof/>
            <w:webHidden/>
          </w:rPr>
          <w:instrText xml:space="preserve"> PAGEREF _Toc205532892 \h </w:instrText>
        </w:r>
        <w:r>
          <w:rPr>
            <w:noProof/>
            <w:webHidden/>
          </w:rPr>
        </w:r>
        <w:r>
          <w:rPr>
            <w:noProof/>
            <w:webHidden/>
          </w:rPr>
          <w:fldChar w:fldCharType="separate"/>
        </w:r>
        <w:r>
          <w:rPr>
            <w:noProof/>
            <w:webHidden/>
          </w:rPr>
          <w:t>34</w:t>
        </w:r>
        <w:r>
          <w:rPr>
            <w:noProof/>
            <w:webHidden/>
          </w:rPr>
          <w:fldChar w:fldCharType="end"/>
        </w:r>
      </w:hyperlink>
    </w:p>
    <w:p w:rsidR="009B3F42" w:rsidRDefault="009B3F42">
      <w:pPr>
        <w:pStyle w:val="TOC3"/>
        <w:rPr>
          <w:rFonts w:ascii="Calibri" w:hAnsi="Calibri"/>
          <w:kern w:val="2"/>
          <w:lang w:val="en-RU" w:eastAsia="en-GB"/>
        </w:rPr>
      </w:pPr>
      <w:hyperlink w:anchor="_Toc205532893" w:history="1">
        <w:r w:rsidRPr="007302DE">
          <w:rPr>
            <w:rStyle w:val="Hyperlink"/>
          </w:rPr>
          <w:t>С 1 октября 2025 года ожидается индексация зарплат некоторых категорий граждан. Речь о госслужащих и бюджетниках, напомнила aif.ru профессор РЭУ им. Плеханова Наталья Проданова.</w:t>
        </w:r>
        <w:r>
          <w:rPr>
            <w:webHidden/>
          </w:rPr>
          <w:tab/>
        </w:r>
        <w:r>
          <w:rPr>
            <w:webHidden/>
          </w:rPr>
          <w:fldChar w:fldCharType="begin"/>
        </w:r>
        <w:r>
          <w:rPr>
            <w:webHidden/>
          </w:rPr>
          <w:instrText xml:space="preserve"> PAGEREF _Toc205532893 \h </w:instrText>
        </w:r>
        <w:r>
          <w:rPr>
            <w:webHidden/>
          </w:rPr>
        </w:r>
        <w:r>
          <w:rPr>
            <w:webHidden/>
          </w:rPr>
          <w:fldChar w:fldCharType="separate"/>
        </w:r>
        <w:r>
          <w:rPr>
            <w:webHidden/>
          </w:rPr>
          <w:t>34</w:t>
        </w:r>
        <w:r>
          <w:rPr>
            <w:webHidden/>
          </w:rPr>
          <w:fldChar w:fldCharType="end"/>
        </w:r>
      </w:hyperlink>
    </w:p>
    <w:p w:rsidR="009B3F42" w:rsidRDefault="009B3F42">
      <w:pPr>
        <w:pStyle w:val="TOC2"/>
        <w:tabs>
          <w:tab w:val="right" w:leader="dot" w:pos="9061"/>
        </w:tabs>
        <w:rPr>
          <w:rFonts w:ascii="Calibri" w:hAnsi="Calibri"/>
          <w:noProof/>
          <w:kern w:val="2"/>
          <w:lang w:val="en-RU" w:eastAsia="en-GB"/>
        </w:rPr>
      </w:pPr>
      <w:hyperlink w:anchor="_Toc205532894" w:history="1">
        <w:r w:rsidRPr="007302DE">
          <w:rPr>
            <w:rStyle w:val="Hyperlink"/>
            <w:noProof/>
          </w:rPr>
          <w:t>PRIMPRESS, 07.08.2025, Пенсионерам с 8 августа зачислят на карты удержанные за 2020-2024 суммы</w:t>
        </w:r>
        <w:r>
          <w:rPr>
            <w:noProof/>
            <w:webHidden/>
          </w:rPr>
          <w:tab/>
        </w:r>
        <w:r>
          <w:rPr>
            <w:noProof/>
            <w:webHidden/>
          </w:rPr>
          <w:fldChar w:fldCharType="begin"/>
        </w:r>
        <w:r>
          <w:rPr>
            <w:noProof/>
            <w:webHidden/>
          </w:rPr>
          <w:instrText xml:space="preserve"> PAGEREF _Toc205532894 \h </w:instrText>
        </w:r>
        <w:r>
          <w:rPr>
            <w:noProof/>
            <w:webHidden/>
          </w:rPr>
        </w:r>
        <w:r>
          <w:rPr>
            <w:noProof/>
            <w:webHidden/>
          </w:rPr>
          <w:fldChar w:fldCharType="separate"/>
        </w:r>
        <w:r>
          <w:rPr>
            <w:noProof/>
            <w:webHidden/>
          </w:rPr>
          <w:t>34</w:t>
        </w:r>
        <w:r>
          <w:rPr>
            <w:noProof/>
            <w:webHidden/>
          </w:rPr>
          <w:fldChar w:fldCharType="end"/>
        </w:r>
      </w:hyperlink>
    </w:p>
    <w:p w:rsidR="009B3F42" w:rsidRDefault="009B3F42">
      <w:pPr>
        <w:pStyle w:val="TOC3"/>
        <w:rPr>
          <w:rFonts w:ascii="Calibri" w:hAnsi="Calibri"/>
          <w:kern w:val="2"/>
          <w:lang w:val="en-RU" w:eastAsia="en-GB"/>
        </w:rPr>
      </w:pPr>
      <w:hyperlink w:anchor="_Toc205532895" w:history="1">
        <w:r w:rsidRPr="007302DE">
          <w:rPr>
            <w:rStyle w:val="Hyperlink"/>
          </w:rPr>
          <w:t>Пенсионерам сообщили, что суммы, которые ранее были удержаны из их пенсий, начнут поступать на их счета уже с 8 августа. Эти выплаты связаны с новыми судебными решениями, и практически каждый пенсионер сможет воспользоваться этим правом, рассказала пенсионный эксперт Анастасия Киреева, сообщает PRIMPRESS.</w:t>
        </w:r>
        <w:r>
          <w:rPr>
            <w:webHidden/>
          </w:rPr>
          <w:tab/>
        </w:r>
        <w:r>
          <w:rPr>
            <w:webHidden/>
          </w:rPr>
          <w:fldChar w:fldCharType="begin"/>
        </w:r>
        <w:r>
          <w:rPr>
            <w:webHidden/>
          </w:rPr>
          <w:instrText xml:space="preserve"> PAGEREF _Toc205532895 \h </w:instrText>
        </w:r>
        <w:r>
          <w:rPr>
            <w:webHidden/>
          </w:rPr>
        </w:r>
        <w:r>
          <w:rPr>
            <w:webHidden/>
          </w:rPr>
          <w:fldChar w:fldCharType="separate"/>
        </w:r>
        <w:r>
          <w:rPr>
            <w:webHidden/>
          </w:rPr>
          <w:t>34</w:t>
        </w:r>
        <w:r>
          <w:rPr>
            <w:webHidden/>
          </w:rPr>
          <w:fldChar w:fldCharType="end"/>
        </w:r>
      </w:hyperlink>
    </w:p>
    <w:p w:rsidR="009B3F42" w:rsidRDefault="009B3F42">
      <w:pPr>
        <w:pStyle w:val="TOC2"/>
        <w:tabs>
          <w:tab w:val="right" w:leader="dot" w:pos="9061"/>
        </w:tabs>
        <w:rPr>
          <w:rFonts w:ascii="Calibri" w:hAnsi="Calibri"/>
          <w:noProof/>
          <w:kern w:val="2"/>
          <w:lang w:val="en-RU" w:eastAsia="en-GB"/>
        </w:rPr>
      </w:pPr>
      <w:hyperlink w:anchor="_Toc205532896" w:history="1">
        <w:r w:rsidRPr="007302DE">
          <w:rPr>
            <w:rStyle w:val="Hyperlink"/>
            <w:noProof/>
          </w:rPr>
          <w:t>PRIMPRESS, 07.08.2025, Всех, кто получает пенсию на банковскую карту, ждет новая беда с 8 августа</w:t>
        </w:r>
        <w:r>
          <w:rPr>
            <w:noProof/>
            <w:webHidden/>
          </w:rPr>
          <w:tab/>
        </w:r>
        <w:r>
          <w:rPr>
            <w:noProof/>
            <w:webHidden/>
          </w:rPr>
          <w:fldChar w:fldCharType="begin"/>
        </w:r>
        <w:r>
          <w:rPr>
            <w:noProof/>
            <w:webHidden/>
          </w:rPr>
          <w:instrText xml:space="preserve"> PAGEREF _Toc205532896 \h </w:instrText>
        </w:r>
        <w:r>
          <w:rPr>
            <w:noProof/>
            <w:webHidden/>
          </w:rPr>
        </w:r>
        <w:r>
          <w:rPr>
            <w:noProof/>
            <w:webHidden/>
          </w:rPr>
          <w:fldChar w:fldCharType="separate"/>
        </w:r>
        <w:r>
          <w:rPr>
            <w:noProof/>
            <w:webHidden/>
          </w:rPr>
          <w:t>35</w:t>
        </w:r>
        <w:r>
          <w:rPr>
            <w:noProof/>
            <w:webHidden/>
          </w:rPr>
          <w:fldChar w:fldCharType="end"/>
        </w:r>
      </w:hyperlink>
    </w:p>
    <w:p w:rsidR="009B3F42" w:rsidRDefault="009B3F42">
      <w:pPr>
        <w:pStyle w:val="TOC3"/>
        <w:rPr>
          <w:rFonts w:ascii="Calibri" w:hAnsi="Calibri"/>
          <w:kern w:val="2"/>
          <w:lang w:val="en-RU" w:eastAsia="en-GB"/>
        </w:rPr>
      </w:pPr>
      <w:hyperlink w:anchor="_Toc205532897" w:history="1">
        <w:r w:rsidRPr="007302DE">
          <w:rPr>
            <w:rStyle w:val="Hyperlink"/>
          </w:rPr>
          <w:t>Пенсионерам, получающим пенсию на банковскую карту, сообщили о новых опасных схемах мошенничества, которые начнут распространяться уже с 8 августа. Власти призывают пожилых граждан проявлять особую осторожность, поскольку в разных регионах появились новые виды обмана, сообщает PRIMPRESS.</w:t>
        </w:r>
        <w:r>
          <w:rPr>
            <w:webHidden/>
          </w:rPr>
          <w:tab/>
        </w:r>
        <w:r>
          <w:rPr>
            <w:webHidden/>
          </w:rPr>
          <w:fldChar w:fldCharType="begin"/>
        </w:r>
        <w:r>
          <w:rPr>
            <w:webHidden/>
          </w:rPr>
          <w:instrText xml:space="preserve"> PAGEREF _Toc205532897 \h </w:instrText>
        </w:r>
        <w:r>
          <w:rPr>
            <w:webHidden/>
          </w:rPr>
        </w:r>
        <w:r>
          <w:rPr>
            <w:webHidden/>
          </w:rPr>
          <w:fldChar w:fldCharType="separate"/>
        </w:r>
        <w:r>
          <w:rPr>
            <w:webHidden/>
          </w:rPr>
          <w:t>35</w:t>
        </w:r>
        <w:r>
          <w:rPr>
            <w:webHidden/>
          </w:rPr>
          <w:fldChar w:fldCharType="end"/>
        </w:r>
      </w:hyperlink>
    </w:p>
    <w:p w:rsidR="009B3F42" w:rsidRDefault="009B3F42">
      <w:pPr>
        <w:pStyle w:val="TOC2"/>
        <w:tabs>
          <w:tab w:val="right" w:leader="dot" w:pos="9061"/>
        </w:tabs>
        <w:rPr>
          <w:rFonts w:ascii="Calibri" w:hAnsi="Calibri"/>
          <w:noProof/>
          <w:kern w:val="2"/>
          <w:lang w:val="en-RU" w:eastAsia="en-GB"/>
        </w:rPr>
      </w:pPr>
      <w:hyperlink w:anchor="_Toc205532898" w:history="1">
        <w:r w:rsidRPr="007302DE">
          <w:rPr>
            <w:rStyle w:val="Hyperlink"/>
            <w:noProof/>
          </w:rPr>
          <w:t>ГлобалМСК.ру, 07.08.2025, Многие россияне не намерены выходить на пенсию</w:t>
        </w:r>
        <w:r>
          <w:rPr>
            <w:noProof/>
            <w:webHidden/>
          </w:rPr>
          <w:tab/>
        </w:r>
        <w:r>
          <w:rPr>
            <w:noProof/>
            <w:webHidden/>
          </w:rPr>
          <w:fldChar w:fldCharType="begin"/>
        </w:r>
        <w:r>
          <w:rPr>
            <w:noProof/>
            <w:webHidden/>
          </w:rPr>
          <w:instrText xml:space="preserve"> PAGEREF _Toc205532898 \h </w:instrText>
        </w:r>
        <w:r>
          <w:rPr>
            <w:noProof/>
            <w:webHidden/>
          </w:rPr>
        </w:r>
        <w:r>
          <w:rPr>
            <w:noProof/>
            <w:webHidden/>
          </w:rPr>
          <w:fldChar w:fldCharType="separate"/>
        </w:r>
        <w:r>
          <w:rPr>
            <w:noProof/>
            <w:webHidden/>
          </w:rPr>
          <w:t>36</w:t>
        </w:r>
        <w:r>
          <w:rPr>
            <w:noProof/>
            <w:webHidden/>
          </w:rPr>
          <w:fldChar w:fldCharType="end"/>
        </w:r>
      </w:hyperlink>
    </w:p>
    <w:p w:rsidR="009B3F42" w:rsidRDefault="009B3F42">
      <w:pPr>
        <w:pStyle w:val="TOC3"/>
        <w:rPr>
          <w:rFonts w:ascii="Calibri" w:hAnsi="Calibri"/>
          <w:kern w:val="2"/>
          <w:lang w:val="en-RU" w:eastAsia="en-GB"/>
        </w:rPr>
      </w:pPr>
      <w:hyperlink w:anchor="_Toc205532899" w:history="1">
        <w:r w:rsidRPr="007302DE">
          <w:rPr>
            <w:rStyle w:val="Hyperlink"/>
          </w:rPr>
          <w:t>78% россиян убеждены, что работать стоит даже после достижения пенсионного возраста. По словам аналитиков, основной мотив такого поведения заключается в финансовой стабильности, так как люди прекрасно понимают, что государственные выплаты не смогут обеспечить комфортную и беспроблемную жизнь.</w:t>
        </w:r>
        <w:r>
          <w:rPr>
            <w:webHidden/>
          </w:rPr>
          <w:tab/>
        </w:r>
        <w:r>
          <w:rPr>
            <w:webHidden/>
          </w:rPr>
          <w:fldChar w:fldCharType="begin"/>
        </w:r>
        <w:r>
          <w:rPr>
            <w:webHidden/>
          </w:rPr>
          <w:instrText xml:space="preserve"> PAGEREF _Toc205532899 \h </w:instrText>
        </w:r>
        <w:r>
          <w:rPr>
            <w:webHidden/>
          </w:rPr>
        </w:r>
        <w:r>
          <w:rPr>
            <w:webHidden/>
          </w:rPr>
          <w:fldChar w:fldCharType="separate"/>
        </w:r>
        <w:r>
          <w:rPr>
            <w:webHidden/>
          </w:rPr>
          <w:t>36</w:t>
        </w:r>
        <w:r>
          <w:rPr>
            <w:webHidden/>
          </w:rPr>
          <w:fldChar w:fldCharType="end"/>
        </w:r>
      </w:hyperlink>
    </w:p>
    <w:p w:rsidR="009B3F42" w:rsidRDefault="009B3F42">
      <w:pPr>
        <w:pStyle w:val="TOC1"/>
        <w:tabs>
          <w:tab w:val="right" w:leader="dot" w:pos="9061"/>
        </w:tabs>
        <w:rPr>
          <w:rFonts w:ascii="Calibri" w:hAnsi="Calibri"/>
          <w:b w:val="0"/>
          <w:noProof/>
          <w:kern w:val="2"/>
          <w:sz w:val="24"/>
          <w:lang w:val="en-RU" w:eastAsia="en-GB"/>
        </w:rPr>
      </w:pPr>
      <w:hyperlink w:anchor="_Toc205532900" w:history="1">
        <w:r w:rsidRPr="007302DE">
          <w:rPr>
            <w:rStyle w:val="Hyperlink"/>
            <w:noProof/>
          </w:rPr>
          <w:t>НОВОСТИ МАКРОЭКОНОМИКИ</w:t>
        </w:r>
        <w:r>
          <w:rPr>
            <w:noProof/>
            <w:webHidden/>
          </w:rPr>
          <w:tab/>
        </w:r>
        <w:r>
          <w:rPr>
            <w:noProof/>
            <w:webHidden/>
          </w:rPr>
          <w:fldChar w:fldCharType="begin"/>
        </w:r>
        <w:r>
          <w:rPr>
            <w:noProof/>
            <w:webHidden/>
          </w:rPr>
          <w:instrText xml:space="preserve"> PAGEREF _Toc205532900 \h </w:instrText>
        </w:r>
        <w:r>
          <w:rPr>
            <w:noProof/>
            <w:webHidden/>
          </w:rPr>
        </w:r>
        <w:r>
          <w:rPr>
            <w:noProof/>
            <w:webHidden/>
          </w:rPr>
          <w:fldChar w:fldCharType="separate"/>
        </w:r>
        <w:r>
          <w:rPr>
            <w:noProof/>
            <w:webHidden/>
          </w:rPr>
          <w:t>38</w:t>
        </w:r>
        <w:r>
          <w:rPr>
            <w:noProof/>
            <w:webHidden/>
          </w:rPr>
          <w:fldChar w:fldCharType="end"/>
        </w:r>
      </w:hyperlink>
    </w:p>
    <w:p w:rsidR="009B3F42" w:rsidRDefault="009B3F42">
      <w:pPr>
        <w:pStyle w:val="TOC2"/>
        <w:tabs>
          <w:tab w:val="right" w:leader="dot" w:pos="9061"/>
        </w:tabs>
        <w:rPr>
          <w:rFonts w:ascii="Calibri" w:hAnsi="Calibri"/>
          <w:noProof/>
          <w:kern w:val="2"/>
          <w:lang w:val="en-RU" w:eastAsia="en-GB"/>
        </w:rPr>
      </w:pPr>
      <w:hyperlink w:anchor="_Toc205532901" w:history="1">
        <w:r w:rsidRPr="007302DE">
          <w:rPr>
            <w:rStyle w:val="Hyperlink"/>
            <w:noProof/>
          </w:rPr>
          <w:t>Коммерсантъ, 07.08.2025, Пайщики распробовали долги</w:t>
        </w:r>
        <w:r>
          <w:rPr>
            <w:noProof/>
            <w:webHidden/>
          </w:rPr>
          <w:tab/>
        </w:r>
        <w:r>
          <w:rPr>
            <w:noProof/>
            <w:webHidden/>
          </w:rPr>
          <w:fldChar w:fldCharType="begin"/>
        </w:r>
        <w:r>
          <w:rPr>
            <w:noProof/>
            <w:webHidden/>
          </w:rPr>
          <w:instrText xml:space="preserve"> PAGEREF _Toc205532901 \h </w:instrText>
        </w:r>
        <w:r>
          <w:rPr>
            <w:noProof/>
            <w:webHidden/>
          </w:rPr>
        </w:r>
        <w:r>
          <w:rPr>
            <w:noProof/>
            <w:webHidden/>
          </w:rPr>
          <w:fldChar w:fldCharType="separate"/>
        </w:r>
        <w:r>
          <w:rPr>
            <w:noProof/>
            <w:webHidden/>
          </w:rPr>
          <w:t>38</w:t>
        </w:r>
        <w:r>
          <w:rPr>
            <w:noProof/>
            <w:webHidden/>
          </w:rPr>
          <w:fldChar w:fldCharType="end"/>
        </w:r>
      </w:hyperlink>
    </w:p>
    <w:p w:rsidR="009B3F42" w:rsidRDefault="009B3F42">
      <w:pPr>
        <w:pStyle w:val="TOC3"/>
        <w:rPr>
          <w:rFonts w:ascii="Calibri" w:hAnsi="Calibri"/>
          <w:kern w:val="2"/>
          <w:lang w:val="en-RU" w:eastAsia="en-GB"/>
        </w:rPr>
      </w:pPr>
      <w:hyperlink w:anchor="_Toc205532902" w:history="1">
        <w:r w:rsidRPr="007302DE">
          <w:rPr>
            <w:rStyle w:val="Hyperlink"/>
          </w:rPr>
          <w:t>Объем привлечений в облигационные ПИФы в июле 2025 года обновил исторический рекорд, достигнув 153 млрд руб., почти в три раза перекрыв показатель предыдущего месяца. Он обеспечен за счет перетоков средств с депозитов, ставки по которым опустились к уровням годовой давности, а также из фондов денежного рынка. В ближайшие месяцы тенденция может усилиться по мере дальнейшего снижения ставок. При этом массового ухода из ПИФов денежного рынка управляющие не ждут, поскольку текущая доходность по ним остается вблизи ключевой ставки.</w:t>
        </w:r>
        <w:r>
          <w:rPr>
            <w:webHidden/>
          </w:rPr>
          <w:tab/>
        </w:r>
        <w:r>
          <w:rPr>
            <w:webHidden/>
          </w:rPr>
          <w:fldChar w:fldCharType="begin"/>
        </w:r>
        <w:r>
          <w:rPr>
            <w:webHidden/>
          </w:rPr>
          <w:instrText xml:space="preserve"> PAGEREF _Toc205532902 \h </w:instrText>
        </w:r>
        <w:r>
          <w:rPr>
            <w:webHidden/>
          </w:rPr>
        </w:r>
        <w:r>
          <w:rPr>
            <w:webHidden/>
          </w:rPr>
          <w:fldChar w:fldCharType="separate"/>
        </w:r>
        <w:r>
          <w:rPr>
            <w:webHidden/>
          </w:rPr>
          <w:t>38</w:t>
        </w:r>
        <w:r>
          <w:rPr>
            <w:webHidden/>
          </w:rPr>
          <w:fldChar w:fldCharType="end"/>
        </w:r>
      </w:hyperlink>
    </w:p>
    <w:p w:rsidR="009B3F42" w:rsidRDefault="009B3F42">
      <w:pPr>
        <w:pStyle w:val="TOC2"/>
        <w:tabs>
          <w:tab w:val="right" w:leader="dot" w:pos="9061"/>
        </w:tabs>
        <w:rPr>
          <w:rFonts w:ascii="Calibri" w:hAnsi="Calibri"/>
          <w:noProof/>
          <w:kern w:val="2"/>
          <w:lang w:val="en-RU" w:eastAsia="en-GB"/>
        </w:rPr>
      </w:pPr>
      <w:hyperlink w:anchor="_Toc205532903" w:history="1">
        <w:r w:rsidRPr="007302DE">
          <w:rPr>
            <w:rStyle w:val="Hyperlink"/>
            <w:noProof/>
          </w:rPr>
          <w:t>Коммерсантъ, 07.08.2025, Перед трудом не все равны</w:t>
        </w:r>
        <w:r>
          <w:rPr>
            <w:noProof/>
            <w:webHidden/>
          </w:rPr>
          <w:tab/>
        </w:r>
        <w:r>
          <w:rPr>
            <w:noProof/>
            <w:webHidden/>
          </w:rPr>
          <w:fldChar w:fldCharType="begin"/>
        </w:r>
        <w:r>
          <w:rPr>
            <w:noProof/>
            <w:webHidden/>
          </w:rPr>
          <w:instrText xml:space="preserve"> PAGEREF _Toc205532903 \h </w:instrText>
        </w:r>
        <w:r>
          <w:rPr>
            <w:noProof/>
            <w:webHidden/>
          </w:rPr>
        </w:r>
        <w:r>
          <w:rPr>
            <w:noProof/>
            <w:webHidden/>
          </w:rPr>
          <w:fldChar w:fldCharType="separate"/>
        </w:r>
        <w:r>
          <w:rPr>
            <w:noProof/>
            <w:webHidden/>
          </w:rPr>
          <w:t>39</w:t>
        </w:r>
        <w:r>
          <w:rPr>
            <w:noProof/>
            <w:webHidden/>
          </w:rPr>
          <w:fldChar w:fldCharType="end"/>
        </w:r>
      </w:hyperlink>
    </w:p>
    <w:p w:rsidR="009B3F42" w:rsidRDefault="009B3F42">
      <w:pPr>
        <w:pStyle w:val="TOC3"/>
        <w:rPr>
          <w:rFonts w:ascii="Calibri" w:hAnsi="Calibri"/>
          <w:kern w:val="2"/>
          <w:lang w:val="en-RU" w:eastAsia="en-GB"/>
        </w:rPr>
      </w:pPr>
      <w:hyperlink w:anchor="_Toc205532904" w:history="1">
        <w:r w:rsidRPr="007302DE">
          <w:rPr>
            <w:rStyle w:val="Hyperlink"/>
          </w:rPr>
          <w:t>Хотя все поколения российских работников ценят одни и те же базовые характеристики занятости, они отличаются друг от друга предпочтениями бонусов, формата работы и организации рабочего места. Так, медицинское страхование (ДМС) входит в топ-3 у всех, однако интерес к нему максимален у поколения Y (1981–1996 года рождения, 81%). Молодым же в разы интереснее возможность получить дополнительный отпуск, и, как ни парадоксально, в разы менее их привлекает доступ к корпоративному образованию.</w:t>
        </w:r>
        <w:r>
          <w:rPr>
            <w:webHidden/>
          </w:rPr>
          <w:tab/>
        </w:r>
        <w:r>
          <w:rPr>
            <w:webHidden/>
          </w:rPr>
          <w:fldChar w:fldCharType="begin"/>
        </w:r>
        <w:r>
          <w:rPr>
            <w:webHidden/>
          </w:rPr>
          <w:instrText xml:space="preserve"> PAGEREF _Toc205532904 \h </w:instrText>
        </w:r>
        <w:r>
          <w:rPr>
            <w:webHidden/>
          </w:rPr>
        </w:r>
        <w:r>
          <w:rPr>
            <w:webHidden/>
          </w:rPr>
          <w:fldChar w:fldCharType="separate"/>
        </w:r>
        <w:r>
          <w:rPr>
            <w:webHidden/>
          </w:rPr>
          <w:t>39</w:t>
        </w:r>
        <w:r>
          <w:rPr>
            <w:webHidden/>
          </w:rPr>
          <w:fldChar w:fldCharType="end"/>
        </w:r>
      </w:hyperlink>
    </w:p>
    <w:p w:rsidR="009B3F42" w:rsidRDefault="009B3F42">
      <w:pPr>
        <w:pStyle w:val="TOC2"/>
        <w:tabs>
          <w:tab w:val="right" w:leader="dot" w:pos="9061"/>
        </w:tabs>
        <w:rPr>
          <w:rFonts w:ascii="Calibri" w:hAnsi="Calibri"/>
          <w:noProof/>
          <w:kern w:val="2"/>
          <w:lang w:val="en-RU" w:eastAsia="en-GB"/>
        </w:rPr>
      </w:pPr>
      <w:hyperlink w:anchor="_Toc205532905" w:history="1">
        <w:r w:rsidRPr="007302DE">
          <w:rPr>
            <w:rStyle w:val="Hyperlink"/>
            <w:noProof/>
          </w:rPr>
          <w:t>Известия, 07.08.2025, Что делать, если по облигациям объявлен дефолт. Разбор</w:t>
        </w:r>
        <w:r>
          <w:rPr>
            <w:noProof/>
            <w:webHidden/>
          </w:rPr>
          <w:tab/>
        </w:r>
        <w:r>
          <w:rPr>
            <w:noProof/>
            <w:webHidden/>
          </w:rPr>
          <w:fldChar w:fldCharType="begin"/>
        </w:r>
        <w:r>
          <w:rPr>
            <w:noProof/>
            <w:webHidden/>
          </w:rPr>
          <w:instrText xml:space="preserve"> PAGEREF _Toc205532905 \h </w:instrText>
        </w:r>
        <w:r>
          <w:rPr>
            <w:noProof/>
            <w:webHidden/>
          </w:rPr>
        </w:r>
        <w:r>
          <w:rPr>
            <w:noProof/>
            <w:webHidden/>
          </w:rPr>
          <w:fldChar w:fldCharType="separate"/>
        </w:r>
        <w:r>
          <w:rPr>
            <w:noProof/>
            <w:webHidden/>
          </w:rPr>
          <w:t>41</w:t>
        </w:r>
        <w:r>
          <w:rPr>
            <w:noProof/>
            <w:webHidden/>
          </w:rPr>
          <w:fldChar w:fldCharType="end"/>
        </w:r>
      </w:hyperlink>
    </w:p>
    <w:p w:rsidR="009B3F42" w:rsidRDefault="009B3F42">
      <w:pPr>
        <w:pStyle w:val="TOC3"/>
        <w:rPr>
          <w:rFonts w:ascii="Calibri" w:hAnsi="Calibri"/>
          <w:kern w:val="2"/>
          <w:lang w:val="en-RU" w:eastAsia="en-GB"/>
        </w:rPr>
      </w:pPr>
      <w:hyperlink w:anchor="_Toc205532906" w:history="1">
        <w:r w:rsidRPr="007302DE">
          <w:rPr>
            <w:rStyle w:val="Hyperlink"/>
          </w:rPr>
          <w:t>Число дефолтов по облигациям за первые шесть месяцев 2025 года превысило аналогичный показатель за весь предыдущий год. Причинами дефолтов компаний называют продолжительное действие высокой ключевой ставки и рост долговой нагрузки на компании. Как определить признаки надвигающегося дефолта и что делать инвестору, если он наступил, - в материале «Известий».</w:t>
        </w:r>
        <w:r>
          <w:rPr>
            <w:webHidden/>
          </w:rPr>
          <w:tab/>
        </w:r>
        <w:r>
          <w:rPr>
            <w:webHidden/>
          </w:rPr>
          <w:fldChar w:fldCharType="begin"/>
        </w:r>
        <w:r>
          <w:rPr>
            <w:webHidden/>
          </w:rPr>
          <w:instrText xml:space="preserve"> PAGEREF _Toc205532906 \h </w:instrText>
        </w:r>
        <w:r>
          <w:rPr>
            <w:webHidden/>
          </w:rPr>
        </w:r>
        <w:r>
          <w:rPr>
            <w:webHidden/>
          </w:rPr>
          <w:fldChar w:fldCharType="separate"/>
        </w:r>
        <w:r>
          <w:rPr>
            <w:webHidden/>
          </w:rPr>
          <w:t>41</w:t>
        </w:r>
        <w:r>
          <w:rPr>
            <w:webHidden/>
          </w:rPr>
          <w:fldChar w:fldCharType="end"/>
        </w:r>
      </w:hyperlink>
    </w:p>
    <w:p w:rsidR="009B3F42" w:rsidRDefault="009B3F42">
      <w:pPr>
        <w:pStyle w:val="TOC2"/>
        <w:tabs>
          <w:tab w:val="right" w:leader="dot" w:pos="9061"/>
        </w:tabs>
        <w:rPr>
          <w:rFonts w:ascii="Calibri" w:hAnsi="Calibri"/>
          <w:noProof/>
          <w:kern w:val="2"/>
          <w:lang w:val="en-RU" w:eastAsia="en-GB"/>
        </w:rPr>
      </w:pPr>
      <w:hyperlink w:anchor="_Toc205532907" w:history="1">
        <w:r w:rsidRPr="007302DE">
          <w:rPr>
            <w:rStyle w:val="Hyperlink"/>
            <w:noProof/>
          </w:rPr>
          <w:t>Коммерсантъ, 07.08.2025, Июль добавил к дефициту триллион</w:t>
        </w:r>
        <w:r>
          <w:rPr>
            <w:noProof/>
            <w:webHidden/>
          </w:rPr>
          <w:tab/>
        </w:r>
        <w:r>
          <w:rPr>
            <w:noProof/>
            <w:webHidden/>
          </w:rPr>
          <w:fldChar w:fldCharType="begin"/>
        </w:r>
        <w:r>
          <w:rPr>
            <w:noProof/>
            <w:webHidden/>
          </w:rPr>
          <w:instrText xml:space="preserve"> PAGEREF _Toc205532907 \h </w:instrText>
        </w:r>
        <w:r>
          <w:rPr>
            <w:noProof/>
            <w:webHidden/>
          </w:rPr>
        </w:r>
        <w:r>
          <w:rPr>
            <w:noProof/>
            <w:webHidden/>
          </w:rPr>
          <w:fldChar w:fldCharType="separate"/>
        </w:r>
        <w:r>
          <w:rPr>
            <w:noProof/>
            <w:webHidden/>
          </w:rPr>
          <w:t>43</w:t>
        </w:r>
        <w:r>
          <w:rPr>
            <w:noProof/>
            <w:webHidden/>
          </w:rPr>
          <w:fldChar w:fldCharType="end"/>
        </w:r>
      </w:hyperlink>
    </w:p>
    <w:p w:rsidR="009B3F42" w:rsidRDefault="009B3F42">
      <w:pPr>
        <w:pStyle w:val="TOC3"/>
        <w:rPr>
          <w:rFonts w:ascii="Calibri" w:hAnsi="Calibri"/>
          <w:kern w:val="2"/>
          <w:lang w:val="en-RU" w:eastAsia="en-GB"/>
        </w:rPr>
      </w:pPr>
      <w:hyperlink w:anchor="_Toc205532908" w:history="1">
        <w:r w:rsidRPr="007302DE">
          <w:rPr>
            <w:rStyle w:val="Hyperlink"/>
          </w:rPr>
          <w:t>Дефицит федерального бюджета за июль подрос еще на 1,2 трлн руб. и по итогам семи месяцев составил 4,9 трлн руб., превысив запланированный на весь год показатель. Бюджет по-прежнему недополучает нефтегазовые доходы, но из-за прироста остальных поступлений относительно прошлого года находится в небольшом плюсе. Расходы госказны растут заметно быстрее, чем доходы, но динамика этого увеличения стабильна. Превышение недавно уже увеличенного показателя дефицита делает неизбежной еще одну, уже осеннюю правку закона о бюджете.</w:t>
        </w:r>
        <w:r>
          <w:rPr>
            <w:webHidden/>
          </w:rPr>
          <w:tab/>
        </w:r>
        <w:r>
          <w:rPr>
            <w:webHidden/>
          </w:rPr>
          <w:fldChar w:fldCharType="begin"/>
        </w:r>
        <w:r>
          <w:rPr>
            <w:webHidden/>
          </w:rPr>
          <w:instrText xml:space="preserve"> PAGEREF _Toc205532908 \h </w:instrText>
        </w:r>
        <w:r>
          <w:rPr>
            <w:webHidden/>
          </w:rPr>
        </w:r>
        <w:r>
          <w:rPr>
            <w:webHidden/>
          </w:rPr>
          <w:fldChar w:fldCharType="separate"/>
        </w:r>
        <w:r>
          <w:rPr>
            <w:webHidden/>
          </w:rPr>
          <w:t>43</w:t>
        </w:r>
        <w:r>
          <w:rPr>
            <w:webHidden/>
          </w:rPr>
          <w:fldChar w:fldCharType="end"/>
        </w:r>
      </w:hyperlink>
    </w:p>
    <w:p w:rsidR="009B3F42" w:rsidRDefault="009B3F42">
      <w:pPr>
        <w:pStyle w:val="TOC2"/>
        <w:tabs>
          <w:tab w:val="right" w:leader="dot" w:pos="9061"/>
        </w:tabs>
        <w:rPr>
          <w:rFonts w:ascii="Calibri" w:hAnsi="Calibri"/>
          <w:noProof/>
          <w:kern w:val="2"/>
          <w:lang w:val="en-RU" w:eastAsia="en-GB"/>
        </w:rPr>
      </w:pPr>
      <w:hyperlink w:anchor="_Toc205532909" w:history="1">
        <w:r w:rsidRPr="007302DE">
          <w:rPr>
            <w:rStyle w:val="Hyperlink"/>
            <w:noProof/>
          </w:rPr>
          <w:t>Ведомости, 08.08.2025, Минфин сообщил о продолжении роста ненефтегазовых доходов в январе – июле</w:t>
        </w:r>
        <w:r>
          <w:rPr>
            <w:noProof/>
            <w:webHidden/>
          </w:rPr>
          <w:tab/>
        </w:r>
        <w:r>
          <w:rPr>
            <w:noProof/>
            <w:webHidden/>
          </w:rPr>
          <w:fldChar w:fldCharType="begin"/>
        </w:r>
        <w:r>
          <w:rPr>
            <w:noProof/>
            <w:webHidden/>
          </w:rPr>
          <w:instrText xml:space="preserve"> PAGEREF _Toc205532909 \h </w:instrText>
        </w:r>
        <w:r>
          <w:rPr>
            <w:noProof/>
            <w:webHidden/>
          </w:rPr>
        </w:r>
        <w:r>
          <w:rPr>
            <w:noProof/>
            <w:webHidden/>
          </w:rPr>
          <w:fldChar w:fldCharType="separate"/>
        </w:r>
        <w:r>
          <w:rPr>
            <w:noProof/>
            <w:webHidden/>
          </w:rPr>
          <w:t>44</w:t>
        </w:r>
        <w:r>
          <w:rPr>
            <w:noProof/>
            <w:webHidden/>
          </w:rPr>
          <w:fldChar w:fldCharType="end"/>
        </w:r>
      </w:hyperlink>
    </w:p>
    <w:p w:rsidR="009B3F42" w:rsidRDefault="009B3F42">
      <w:pPr>
        <w:pStyle w:val="TOC3"/>
        <w:rPr>
          <w:rFonts w:ascii="Calibri" w:hAnsi="Calibri"/>
          <w:kern w:val="2"/>
          <w:lang w:val="en-RU" w:eastAsia="en-GB"/>
        </w:rPr>
      </w:pPr>
      <w:hyperlink w:anchor="_Toc205532910" w:history="1">
        <w:r w:rsidRPr="007302DE">
          <w:rPr>
            <w:rStyle w:val="Hyperlink"/>
          </w:rPr>
          <w:t>Доходы федерального бюджета за первые семь месяцев 2025 г. выросли на 2,8% к прошлому году и составили 20,32 трлн руб. (52,78% от годового плана в 38,5 трлн руб.), следует из предварительных данных об исполнении бюджета, представленных Минфином 7 августа.</w:t>
        </w:r>
        <w:r>
          <w:rPr>
            <w:webHidden/>
          </w:rPr>
          <w:tab/>
        </w:r>
        <w:r>
          <w:rPr>
            <w:webHidden/>
          </w:rPr>
          <w:fldChar w:fldCharType="begin"/>
        </w:r>
        <w:r>
          <w:rPr>
            <w:webHidden/>
          </w:rPr>
          <w:instrText xml:space="preserve"> PAGEREF _Toc205532910 \h </w:instrText>
        </w:r>
        <w:r>
          <w:rPr>
            <w:webHidden/>
          </w:rPr>
        </w:r>
        <w:r>
          <w:rPr>
            <w:webHidden/>
          </w:rPr>
          <w:fldChar w:fldCharType="separate"/>
        </w:r>
        <w:r>
          <w:rPr>
            <w:webHidden/>
          </w:rPr>
          <w:t>44</w:t>
        </w:r>
        <w:r>
          <w:rPr>
            <w:webHidden/>
          </w:rPr>
          <w:fldChar w:fldCharType="end"/>
        </w:r>
      </w:hyperlink>
    </w:p>
    <w:p w:rsidR="009B3F42" w:rsidRDefault="009B3F42">
      <w:pPr>
        <w:pStyle w:val="TOC2"/>
        <w:tabs>
          <w:tab w:val="right" w:leader="dot" w:pos="9061"/>
        </w:tabs>
        <w:rPr>
          <w:rFonts w:ascii="Calibri" w:hAnsi="Calibri"/>
          <w:noProof/>
          <w:kern w:val="2"/>
          <w:lang w:val="en-RU" w:eastAsia="en-GB"/>
        </w:rPr>
      </w:pPr>
      <w:hyperlink w:anchor="_Toc205532911" w:history="1">
        <w:r w:rsidRPr="007302DE">
          <w:rPr>
            <w:rStyle w:val="Hyperlink"/>
            <w:noProof/>
          </w:rPr>
          <w:t>РИА Новости, 07.08.2025, Дефицит бюджета РФ в январе-июле достиг 4,88 трлн руб, превысив 1,7% ВВП в законе - Минфин</w:t>
        </w:r>
        <w:r>
          <w:rPr>
            <w:noProof/>
            <w:webHidden/>
          </w:rPr>
          <w:tab/>
        </w:r>
        <w:r>
          <w:rPr>
            <w:noProof/>
            <w:webHidden/>
          </w:rPr>
          <w:fldChar w:fldCharType="begin"/>
        </w:r>
        <w:r>
          <w:rPr>
            <w:noProof/>
            <w:webHidden/>
          </w:rPr>
          <w:instrText xml:space="preserve"> PAGEREF _Toc205532911 \h </w:instrText>
        </w:r>
        <w:r>
          <w:rPr>
            <w:noProof/>
            <w:webHidden/>
          </w:rPr>
        </w:r>
        <w:r>
          <w:rPr>
            <w:noProof/>
            <w:webHidden/>
          </w:rPr>
          <w:fldChar w:fldCharType="separate"/>
        </w:r>
        <w:r>
          <w:rPr>
            <w:noProof/>
            <w:webHidden/>
          </w:rPr>
          <w:t>46</w:t>
        </w:r>
        <w:r>
          <w:rPr>
            <w:noProof/>
            <w:webHidden/>
          </w:rPr>
          <w:fldChar w:fldCharType="end"/>
        </w:r>
      </w:hyperlink>
    </w:p>
    <w:p w:rsidR="009B3F42" w:rsidRDefault="009B3F42">
      <w:pPr>
        <w:pStyle w:val="TOC3"/>
        <w:rPr>
          <w:rFonts w:ascii="Calibri" w:hAnsi="Calibri"/>
          <w:kern w:val="2"/>
          <w:lang w:val="en-RU" w:eastAsia="en-GB"/>
        </w:rPr>
      </w:pPr>
      <w:hyperlink w:anchor="_Toc205532912" w:history="1">
        <w:r w:rsidRPr="007302DE">
          <w:rPr>
            <w:rStyle w:val="Hyperlink"/>
          </w:rPr>
          <w:t>Дефицит федерального бюджета по итогам января-июля 2025 года, по предварительной оценке, составил 4,88 триллиона рублей, или 2,2% ВВП, превысив заложенный уровень в законе о бюджете в 1,7% ВВП на конец года, говорится в материалах на сайте Минфина России.</w:t>
        </w:r>
        <w:r>
          <w:rPr>
            <w:webHidden/>
          </w:rPr>
          <w:tab/>
        </w:r>
        <w:r>
          <w:rPr>
            <w:webHidden/>
          </w:rPr>
          <w:fldChar w:fldCharType="begin"/>
        </w:r>
        <w:r>
          <w:rPr>
            <w:webHidden/>
          </w:rPr>
          <w:instrText xml:space="preserve"> PAGEREF _Toc205532912 \h </w:instrText>
        </w:r>
        <w:r>
          <w:rPr>
            <w:webHidden/>
          </w:rPr>
        </w:r>
        <w:r>
          <w:rPr>
            <w:webHidden/>
          </w:rPr>
          <w:fldChar w:fldCharType="separate"/>
        </w:r>
        <w:r>
          <w:rPr>
            <w:webHidden/>
          </w:rPr>
          <w:t>46</w:t>
        </w:r>
        <w:r>
          <w:rPr>
            <w:webHidden/>
          </w:rPr>
          <w:fldChar w:fldCharType="end"/>
        </w:r>
      </w:hyperlink>
    </w:p>
    <w:p w:rsidR="009B3F42" w:rsidRDefault="009B3F42">
      <w:pPr>
        <w:pStyle w:val="TOC2"/>
        <w:tabs>
          <w:tab w:val="right" w:leader="dot" w:pos="9061"/>
        </w:tabs>
        <w:rPr>
          <w:rFonts w:ascii="Calibri" w:hAnsi="Calibri"/>
          <w:noProof/>
          <w:kern w:val="2"/>
          <w:lang w:val="en-RU" w:eastAsia="en-GB"/>
        </w:rPr>
      </w:pPr>
      <w:hyperlink w:anchor="_Toc205532913" w:history="1">
        <w:r w:rsidRPr="007302DE">
          <w:rPr>
            <w:rStyle w:val="Hyperlink"/>
            <w:noProof/>
          </w:rPr>
          <w:t>РИА Новости, 07.08.2025, Нефтегазовые доходы бюджета РФ в январе-июле снизились на 18,5% - Минфин</w:t>
        </w:r>
        <w:r>
          <w:rPr>
            <w:noProof/>
            <w:webHidden/>
          </w:rPr>
          <w:tab/>
        </w:r>
        <w:r>
          <w:rPr>
            <w:noProof/>
            <w:webHidden/>
          </w:rPr>
          <w:fldChar w:fldCharType="begin"/>
        </w:r>
        <w:r>
          <w:rPr>
            <w:noProof/>
            <w:webHidden/>
          </w:rPr>
          <w:instrText xml:space="preserve"> PAGEREF _Toc205532913 \h </w:instrText>
        </w:r>
        <w:r>
          <w:rPr>
            <w:noProof/>
            <w:webHidden/>
          </w:rPr>
        </w:r>
        <w:r>
          <w:rPr>
            <w:noProof/>
            <w:webHidden/>
          </w:rPr>
          <w:fldChar w:fldCharType="separate"/>
        </w:r>
        <w:r>
          <w:rPr>
            <w:noProof/>
            <w:webHidden/>
          </w:rPr>
          <w:t>47</w:t>
        </w:r>
        <w:r>
          <w:rPr>
            <w:noProof/>
            <w:webHidden/>
          </w:rPr>
          <w:fldChar w:fldCharType="end"/>
        </w:r>
      </w:hyperlink>
    </w:p>
    <w:p w:rsidR="009B3F42" w:rsidRDefault="009B3F42">
      <w:pPr>
        <w:pStyle w:val="TOC3"/>
        <w:rPr>
          <w:rFonts w:ascii="Calibri" w:hAnsi="Calibri"/>
          <w:kern w:val="2"/>
          <w:lang w:val="en-RU" w:eastAsia="en-GB"/>
        </w:rPr>
      </w:pPr>
      <w:hyperlink w:anchor="_Toc205532914" w:history="1">
        <w:r w:rsidRPr="007302DE">
          <w:rPr>
            <w:rStyle w:val="Hyperlink"/>
          </w:rPr>
          <w:t>Нефтегазовые доходы бюджета России в январе-июле снизились на 18,5% - до 5,522 триллиона рублей, а ненефтегазовые - выросли на 14%, до 14,793 триллиона рублей, сообщает Минфин РФ.</w:t>
        </w:r>
        <w:r>
          <w:rPr>
            <w:webHidden/>
          </w:rPr>
          <w:tab/>
        </w:r>
        <w:r>
          <w:rPr>
            <w:webHidden/>
          </w:rPr>
          <w:fldChar w:fldCharType="begin"/>
        </w:r>
        <w:r>
          <w:rPr>
            <w:webHidden/>
          </w:rPr>
          <w:instrText xml:space="preserve"> PAGEREF _Toc205532914 \h </w:instrText>
        </w:r>
        <w:r>
          <w:rPr>
            <w:webHidden/>
          </w:rPr>
        </w:r>
        <w:r>
          <w:rPr>
            <w:webHidden/>
          </w:rPr>
          <w:fldChar w:fldCharType="separate"/>
        </w:r>
        <w:r>
          <w:rPr>
            <w:webHidden/>
          </w:rPr>
          <w:t>47</w:t>
        </w:r>
        <w:r>
          <w:rPr>
            <w:webHidden/>
          </w:rPr>
          <w:fldChar w:fldCharType="end"/>
        </w:r>
      </w:hyperlink>
    </w:p>
    <w:p w:rsidR="009B3F42" w:rsidRDefault="009B3F42">
      <w:pPr>
        <w:pStyle w:val="TOC2"/>
        <w:tabs>
          <w:tab w:val="right" w:leader="dot" w:pos="9061"/>
        </w:tabs>
        <w:rPr>
          <w:rFonts w:ascii="Calibri" w:hAnsi="Calibri"/>
          <w:noProof/>
          <w:kern w:val="2"/>
          <w:lang w:val="en-RU" w:eastAsia="en-GB"/>
        </w:rPr>
      </w:pPr>
      <w:hyperlink w:anchor="_Toc205532915" w:history="1">
        <w:r w:rsidRPr="007302DE">
          <w:rPr>
            <w:rStyle w:val="Hyperlink"/>
            <w:noProof/>
          </w:rPr>
          <w:t>РИА Новости, 07.08.2025, Ненефтегазовые доходы бюджета РФ за январь - июль выросли на 14%, до 14,79 трлн рублей</w:t>
        </w:r>
        <w:r>
          <w:rPr>
            <w:noProof/>
            <w:webHidden/>
          </w:rPr>
          <w:tab/>
        </w:r>
        <w:r>
          <w:rPr>
            <w:noProof/>
            <w:webHidden/>
          </w:rPr>
          <w:fldChar w:fldCharType="begin"/>
        </w:r>
        <w:r>
          <w:rPr>
            <w:noProof/>
            <w:webHidden/>
          </w:rPr>
          <w:instrText xml:space="preserve"> PAGEREF _Toc205532915 \h </w:instrText>
        </w:r>
        <w:r>
          <w:rPr>
            <w:noProof/>
            <w:webHidden/>
          </w:rPr>
        </w:r>
        <w:r>
          <w:rPr>
            <w:noProof/>
            <w:webHidden/>
          </w:rPr>
          <w:fldChar w:fldCharType="separate"/>
        </w:r>
        <w:r>
          <w:rPr>
            <w:noProof/>
            <w:webHidden/>
          </w:rPr>
          <w:t>47</w:t>
        </w:r>
        <w:r>
          <w:rPr>
            <w:noProof/>
            <w:webHidden/>
          </w:rPr>
          <w:fldChar w:fldCharType="end"/>
        </w:r>
      </w:hyperlink>
    </w:p>
    <w:p w:rsidR="009B3F42" w:rsidRDefault="009B3F42">
      <w:pPr>
        <w:pStyle w:val="TOC3"/>
        <w:rPr>
          <w:rFonts w:ascii="Calibri" w:hAnsi="Calibri"/>
          <w:kern w:val="2"/>
          <w:lang w:val="en-RU" w:eastAsia="en-GB"/>
        </w:rPr>
      </w:pPr>
      <w:hyperlink w:anchor="_Toc205532916" w:history="1">
        <w:r w:rsidRPr="007302DE">
          <w:rPr>
            <w:rStyle w:val="Hyperlink"/>
          </w:rPr>
          <w:t>Ненефтегазовые доходы российского бюджета за январь - июль 2025 года увеличились на 14% по сравнению с аналогичным периодом прошлого года, до 14,79 трлн рублей, сообщается в материалах на сайте Минфина.</w:t>
        </w:r>
        <w:r>
          <w:rPr>
            <w:webHidden/>
          </w:rPr>
          <w:tab/>
        </w:r>
        <w:r>
          <w:rPr>
            <w:webHidden/>
          </w:rPr>
          <w:fldChar w:fldCharType="begin"/>
        </w:r>
        <w:r>
          <w:rPr>
            <w:webHidden/>
          </w:rPr>
          <w:instrText xml:space="preserve"> PAGEREF _Toc205532916 \h </w:instrText>
        </w:r>
        <w:r>
          <w:rPr>
            <w:webHidden/>
          </w:rPr>
        </w:r>
        <w:r>
          <w:rPr>
            <w:webHidden/>
          </w:rPr>
          <w:fldChar w:fldCharType="separate"/>
        </w:r>
        <w:r>
          <w:rPr>
            <w:webHidden/>
          </w:rPr>
          <w:t>47</w:t>
        </w:r>
        <w:r>
          <w:rPr>
            <w:webHidden/>
          </w:rPr>
          <w:fldChar w:fldCharType="end"/>
        </w:r>
      </w:hyperlink>
    </w:p>
    <w:p w:rsidR="009B3F42" w:rsidRDefault="009B3F42">
      <w:pPr>
        <w:pStyle w:val="TOC1"/>
        <w:tabs>
          <w:tab w:val="right" w:leader="dot" w:pos="9061"/>
        </w:tabs>
        <w:rPr>
          <w:rFonts w:ascii="Calibri" w:hAnsi="Calibri"/>
          <w:b w:val="0"/>
          <w:noProof/>
          <w:kern w:val="2"/>
          <w:sz w:val="24"/>
          <w:lang w:val="en-RU" w:eastAsia="en-GB"/>
        </w:rPr>
      </w:pPr>
      <w:hyperlink w:anchor="_Toc205532917" w:history="1">
        <w:r w:rsidRPr="007302DE">
          <w:rPr>
            <w:rStyle w:val="Hyperlink"/>
            <w:noProof/>
          </w:rPr>
          <w:t>НОВОСТИ ЗАРУБЕЖНЫХ ПЕНСИОННЫХ СИСТЕМ</w:t>
        </w:r>
        <w:r>
          <w:rPr>
            <w:noProof/>
            <w:webHidden/>
          </w:rPr>
          <w:tab/>
        </w:r>
        <w:r>
          <w:rPr>
            <w:noProof/>
            <w:webHidden/>
          </w:rPr>
          <w:fldChar w:fldCharType="begin"/>
        </w:r>
        <w:r>
          <w:rPr>
            <w:noProof/>
            <w:webHidden/>
          </w:rPr>
          <w:instrText xml:space="preserve"> PAGEREF _Toc205532917 \h </w:instrText>
        </w:r>
        <w:r>
          <w:rPr>
            <w:noProof/>
            <w:webHidden/>
          </w:rPr>
        </w:r>
        <w:r>
          <w:rPr>
            <w:noProof/>
            <w:webHidden/>
          </w:rPr>
          <w:fldChar w:fldCharType="separate"/>
        </w:r>
        <w:r>
          <w:rPr>
            <w:noProof/>
            <w:webHidden/>
          </w:rPr>
          <w:t>48</w:t>
        </w:r>
        <w:r>
          <w:rPr>
            <w:noProof/>
            <w:webHidden/>
          </w:rPr>
          <w:fldChar w:fldCharType="end"/>
        </w:r>
      </w:hyperlink>
    </w:p>
    <w:p w:rsidR="009B3F42" w:rsidRDefault="009B3F42">
      <w:pPr>
        <w:pStyle w:val="TOC1"/>
        <w:tabs>
          <w:tab w:val="right" w:leader="dot" w:pos="9061"/>
        </w:tabs>
        <w:rPr>
          <w:rFonts w:ascii="Calibri" w:hAnsi="Calibri"/>
          <w:b w:val="0"/>
          <w:noProof/>
          <w:kern w:val="2"/>
          <w:sz w:val="24"/>
          <w:lang w:val="en-RU" w:eastAsia="en-GB"/>
        </w:rPr>
      </w:pPr>
      <w:hyperlink w:anchor="_Toc205532918" w:history="1">
        <w:r w:rsidRPr="007302DE">
          <w:rPr>
            <w:rStyle w:val="Hyperlink"/>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_Toc205532918 \h </w:instrText>
        </w:r>
        <w:r>
          <w:rPr>
            <w:noProof/>
            <w:webHidden/>
          </w:rPr>
        </w:r>
        <w:r>
          <w:rPr>
            <w:noProof/>
            <w:webHidden/>
          </w:rPr>
          <w:fldChar w:fldCharType="separate"/>
        </w:r>
        <w:r>
          <w:rPr>
            <w:noProof/>
            <w:webHidden/>
          </w:rPr>
          <w:t>48</w:t>
        </w:r>
        <w:r>
          <w:rPr>
            <w:noProof/>
            <w:webHidden/>
          </w:rPr>
          <w:fldChar w:fldCharType="end"/>
        </w:r>
      </w:hyperlink>
    </w:p>
    <w:p w:rsidR="009B3F42" w:rsidRDefault="009B3F42">
      <w:pPr>
        <w:pStyle w:val="TOC2"/>
        <w:tabs>
          <w:tab w:val="right" w:leader="dot" w:pos="9061"/>
        </w:tabs>
        <w:rPr>
          <w:rFonts w:ascii="Calibri" w:hAnsi="Calibri"/>
          <w:noProof/>
          <w:kern w:val="2"/>
          <w:lang w:val="en-RU" w:eastAsia="en-GB"/>
        </w:rPr>
      </w:pPr>
      <w:hyperlink w:anchor="_Toc205532919" w:history="1">
        <w:r w:rsidRPr="007302DE">
          <w:rPr>
            <w:rStyle w:val="Hyperlink"/>
            <w:noProof/>
          </w:rPr>
          <w:t>Караван, 07.08.2025, Пенсионные накопления тают: куда уходят миллиарды казахстанцев?</w:t>
        </w:r>
        <w:r>
          <w:rPr>
            <w:noProof/>
            <w:webHidden/>
          </w:rPr>
          <w:tab/>
        </w:r>
        <w:r>
          <w:rPr>
            <w:noProof/>
            <w:webHidden/>
          </w:rPr>
          <w:fldChar w:fldCharType="begin"/>
        </w:r>
        <w:r>
          <w:rPr>
            <w:noProof/>
            <w:webHidden/>
          </w:rPr>
          <w:instrText xml:space="preserve"> PAGEREF _Toc205532919 \h </w:instrText>
        </w:r>
        <w:r>
          <w:rPr>
            <w:noProof/>
            <w:webHidden/>
          </w:rPr>
        </w:r>
        <w:r>
          <w:rPr>
            <w:noProof/>
            <w:webHidden/>
          </w:rPr>
          <w:fldChar w:fldCharType="separate"/>
        </w:r>
        <w:r>
          <w:rPr>
            <w:noProof/>
            <w:webHidden/>
          </w:rPr>
          <w:t>48</w:t>
        </w:r>
        <w:r>
          <w:rPr>
            <w:noProof/>
            <w:webHidden/>
          </w:rPr>
          <w:fldChar w:fldCharType="end"/>
        </w:r>
      </w:hyperlink>
    </w:p>
    <w:p w:rsidR="009B3F42" w:rsidRDefault="009B3F42">
      <w:pPr>
        <w:pStyle w:val="TOC3"/>
        <w:rPr>
          <w:rFonts w:ascii="Calibri" w:hAnsi="Calibri"/>
          <w:kern w:val="2"/>
          <w:lang w:val="en-RU" w:eastAsia="en-GB"/>
        </w:rPr>
      </w:pPr>
      <w:hyperlink w:anchor="_Toc205532920" w:history="1">
        <w:r w:rsidRPr="007302DE">
          <w:rPr>
            <w:rStyle w:val="Hyperlink"/>
          </w:rPr>
          <w:t>В Казахстане фиксируется новая волна активности по изъятию пенсионных накоплений – и речь уже не о временном всплеске, а о масштабной тенденции. Жители страны все чаще используют накопленные средства для решения жилищных и медицинских проблем. Эксперты объясняют это как накопленным спросом, так и низким доверием к системе в части доходности. При этом сама система остается устойчивой, а выбор – шире, чем кажется. Подробнее – в материале Caravan.kz.</w:t>
        </w:r>
        <w:r>
          <w:rPr>
            <w:webHidden/>
          </w:rPr>
          <w:tab/>
        </w:r>
        <w:r>
          <w:rPr>
            <w:webHidden/>
          </w:rPr>
          <w:fldChar w:fldCharType="begin"/>
        </w:r>
        <w:r>
          <w:rPr>
            <w:webHidden/>
          </w:rPr>
          <w:instrText xml:space="preserve"> PAGEREF _Toc205532920 \h </w:instrText>
        </w:r>
        <w:r>
          <w:rPr>
            <w:webHidden/>
          </w:rPr>
        </w:r>
        <w:r>
          <w:rPr>
            <w:webHidden/>
          </w:rPr>
          <w:fldChar w:fldCharType="separate"/>
        </w:r>
        <w:r>
          <w:rPr>
            <w:webHidden/>
          </w:rPr>
          <w:t>48</w:t>
        </w:r>
        <w:r>
          <w:rPr>
            <w:webHidden/>
          </w:rPr>
          <w:fldChar w:fldCharType="end"/>
        </w:r>
      </w:hyperlink>
    </w:p>
    <w:p w:rsidR="009B3F42" w:rsidRDefault="009B3F42">
      <w:pPr>
        <w:pStyle w:val="TOC1"/>
        <w:tabs>
          <w:tab w:val="right" w:leader="dot" w:pos="9061"/>
        </w:tabs>
        <w:rPr>
          <w:rFonts w:ascii="Calibri" w:hAnsi="Calibri"/>
          <w:b w:val="0"/>
          <w:noProof/>
          <w:kern w:val="2"/>
          <w:sz w:val="24"/>
          <w:lang w:val="en-RU" w:eastAsia="en-GB"/>
        </w:rPr>
      </w:pPr>
      <w:hyperlink w:anchor="_Toc205532921" w:history="1">
        <w:r w:rsidRPr="007302DE">
          <w:rPr>
            <w:rStyle w:val="Hyperlink"/>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_Toc205532921 \h </w:instrText>
        </w:r>
        <w:r>
          <w:rPr>
            <w:noProof/>
            <w:webHidden/>
          </w:rPr>
        </w:r>
        <w:r>
          <w:rPr>
            <w:noProof/>
            <w:webHidden/>
          </w:rPr>
          <w:fldChar w:fldCharType="separate"/>
        </w:r>
        <w:r>
          <w:rPr>
            <w:noProof/>
            <w:webHidden/>
          </w:rPr>
          <w:t>49</w:t>
        </w:r>
        <w:r>
          <w:rPr>
            <w:noProof/>
            <w:webHidden/>
          </w:rPr>
          <w:fldChar w:fldCharType="end"/>
        </w:r>
      </w:hyperlink>
    </w:p>
    <w:p w:rsidR="009B3F42" w:rsidRDefault="009B3F42">
      <w:pPr>
        <w:pStyle w:val="TOC2"/>
        <w:tabs>
          <w:tab w:val="right" w:leader="dot" w:pos="9061"/>
        </w:tabs>
        <w:rPr>
          <w:rFonts w:ascii="Calibri" w:hAnsi="Calibri"/>
          <w:noProof/>
          <w:kern w:val="2"/>
          <w:lang w:val="en-RU" w:eastAsia="en-GB"/>
        </w:rPr>
      </w:pPr>
      <w:hyperlink w:anchor="_Toc205532922" w:history="1">
        <w:r w:rsidRPr="007302DE">
          <w:rPr>
            <w:rStyle w:val="Hyperlink"/>
            <w:noProof/>
          </w:rPr>
          <w:t>РИА Новости, 07.08.2025, Трамп разрешил инвестировать пенсионные накопления в США в криптовалюту и частные фонды</w:t>
        </w:r>
        <w:r>
          <w:rPr>
            <w:noProof/>
            <w:webHidden/>
          </w:rPr>
          <w:tab/>
        </w:r>
        <w:r>
          <w:rPr>
            <w:noProof/>
            <w:webHidden/>
          </w:rPr>
          <w:fldChar w:fldCharType="begin"/>
        </w:r>
        <w:r>
          <w:rPr>
            <w:noProof/>
            <w:webHidden/>
          </w:rPr>
          <w:instrText xml:space="preserve"> PAGEREF _Toc205532922 \h </w:instrText>
        </w:r>
        <w:r>
          <w:rPr>
            <w:noProof/>
            <w:webHidden/>
          </w:rPr>
        </w:r>
        <w:r>
          <w:rPr>
            <w:noProof/>
            <w:webHidden/>
          </w:rPr>
          <w:fldChar w:fldCharType="separate"/>
        </w:r>
        <w:r>
          <w:rPr>
            <w:noProof/>
            <w:webHidden/>
          </w:rPr>
          <w:t>49</w:t>
        </w:r>
        <w:r>
          <w:rPr>
            <w:noProof/>
            <w:webHidden/>
          </w:rPr>
          <w:fldChar w:fldCharType="end"/>
        </w:r>
      </w:hyperlink>
    </w:p>
    <w:p w:rsidR="009B3F42" w:rsidRDefault="009B3F42">
      <w:pPr>
        <w:pStyle w:val="TOC3"/>
        <w:rPr>
          <w:rFonts w:ascii="Calibri" w:hAnsi="Calibri"/>
          <w:kern w:val="2"/>
          <w:lang w:val="en-RU" w:eastAsia="en-GB"/>
        </w:rPr>
      </w:pPr>
      <w:hyperlink w:anchor="_Toc205532923" w:history="1">
        <w:r w:rsidRPr="007302DE">
          <w:rPr>
            <w:rStyle w:val="Hyperlink"/>
          </w:rPr>
          <w:t>Президент США Дональд Трамп подписал указ, открывающий доступ пенсионных накоплений американцев в системе 401(k) к инвестициям в криптовалюту, частный капитал и другие альтернативные активы, включая недвижимость, пишет в четверг газета Financial Times со ссылкой на неназванных представителей администрации.</w:t>
        </w:r>
        <w:r>
          <w:rPr>
            <w:webHidden/>
          </w:rPr>
          <w:tab/>
        </w:r>
        <w:r>
          <w:rPr>
            <w:webHidden/>
          </w:rPr>
          <w:fldChar w:fldCharType="begin"/>
        </w:r>
        <w:r>
          <w:rPr>
            <w:webHidden/>
          </w:rPr>
          <w:instrText xml:space="preserve"> PAGEREF _Toc205532923 \h </w:instrText>
        </w:r>
        <w:r>
          <w:rPr>
            <w:webHidden/>
          </w:rPr>
        </w:r>
        <w:r>
          <w:rPr>
            <w:webHidden/>
          </w:rPr>
          <w:fldChar w:fldCharType="separate"/>
        </w:r>
        <w:r>
          <w:rPr>
            <w:webHidden/>
          </w:rPr>
          <w:t>49</w:t>
        </w:r>
        <w:r>
          <w:rPr>
            <w:webHidden/>
          </w:rPr>
          <w:fldChar w:fldCharType="end"/>
        </w:r>
      </w:hyperlink>
    </w:p>
    <w:p w:rsidR="009B3F42" w:rsidRDefault="009B3F42">
      <w:pPr>
        <w:pStyle w:val="TOC2"/>
        <w:tabs>
          <w:tab w:val="right" w:leader="dot" w:pos="9061"/>
        </w:tabs>
        <w:rPr>
          <w:rFonts w:ascii="Calibri" w:hAnsi="Calibri"/>
          <w:noProof/>
          <w:kern w:val="2"/>
          <w:lang w:val="en-RU" w:eastAsia="en-GB"/>
        </w:rPr>
      </w:pPr>
      <w:hyperlink w:anchor="_Toc205532924" w:history="1">
        <w:r w:rsidRPr="007302DE">
          <w:rPr>
            <w:rStyle w:val="Hyperlink"/>
            <w:noProof/>
          </w:rPr>
          <w:t>Crypto News, 07.08.2025, Подписание закона о доступе к криптовалютам для пенсионных фондов США спровоцировало рост цен на рынке</w:t>
        </w:r>
        <w:r>
          <w:rPr>
            <w:noProof/>
            <w:webHidden/>
          </w:rPr>
          <w:tab/>
        </w:r>
        <w:r>
          <w:rPr>
            <w:noProof/>
            <w:webHidden/>
          </w:rPr>
          <w:fldChar w:fldCharType="begin"/>
        </w:r>
        <w:r>
          <w:rPr>
            <w:noProof/>
            <w:webHidden/>
          </w:rPr>
          <w:instrText xml:space="preserve"> PAGEREF _Toc205532924 \h </w:instrText>
        </w:r>
        <w:r>
          <w:rPr>
            <w:noProof/>
            <w:webHidden/>
          </w:rPr>
        </w:r>
        <w:r>
          <w:rPr>
            <w:noProof/>
            <w:webHidden/>
          </w:rPr>
          <w:fldChar w:fldCharType="separate"/>
        </w:r>
        <w:r>
          <w:rPr>
            <w:noProof/>
            <w:webHidden/>
          </w:rPr>
          <w:t>50</w:t>
        </w:r>
        <w:r>
          <w:rPr>
            <w:noProof/>
            <w:webHidden/>
          </w:rPr>
          <w:fldChar w:fldCharType="end"/>
        </w:r>
      </w:hyperlink>
    </w:p>
    <w:p w:rsidR="009B3F42" w:rsidRDefault="009B3F42">
      <w:pPr>
        <w:pStyle w:val="TOC3"/>
        <w:rPr>
          <w:rFonts w:ascii="Calibri" w:hAnsi="Calibri"/>
          <w:kern w:val="2"/>
          <w:lang w:val="en-RU" w:eastAsia="en-GB"/>
        </w:rPr>
      </w:pPr>
      <w:hyperlink w:anchor="_Toc205532925" w:history="1">
        <w:r w:rsidRPr="007302DE">
          <w:rPr>
            <w:rStyle w:val="Hyperlink"/>
          </w:rPr>
          <w:t>После заявления президента Дональда Трампа о готовности разрешить пенсионным фондам 401(k) инвестировать в криптовалюты, котировки цифровых активов пошли вверх. Менее чем за 2 часа после новости курс Bitcoin (BTC) вырос до $116 611, прибавив 2,03%, Ethereum подорожал на 5,42% и достиг $3819, а XRP укрепился на 4,39%, поднявшись до $3,08.</w:t>
        </w:r>
        <w:r>
          <w:rPr>
            <w:webHidden/>
          </w:rPr>
          <w:tab/>
        </w:r>
        <w:r>
          <w:rPr>
            <w:webHidden/>
          </w:rPr>
          <w:fldChar w:fldCharType="begin"/>
        </w:r>
        <w:r>
          <w:rPr>
            <w:webHidden/>
          </w:rPr>
          <w:instrText xml:space="preserve"> PAGEREF _Toc205532925 \h </w:instrText>
        </w:r>
        <w:r>
          <w:rPr>
            <w:webHidden/>
          </w:rPr>
        </w:r>
        <w:r>
          <w:rPr>
            <w:webHidden/>
          </w:rPr>
          <w:fldChar w:fldCharType="separate"/>
        </w:r>
        <w:r>
          <w:rPr>
            <w:webHidden/>
          </w:rPr>
          <w:t>50</w:t>
        </w:r>
        <w:r>
          <w:rPr>
            <w:webHidden/>
          </w:rPr>
          <w:fldChar w:fldCharType="end"/>
        </w:r>
      </w:hyperlink>
    </w:p>
    <w:p w:rsidR="009B3F42" w:rsidRDefault="009B3F42">
      <w:pPr>
        <w:pStyle w:val="TOC2"/>
        <w:tabs>
          <w:tab w:val="right" w:leader="dot" w:pos="9061"/>
        </w:tabs>
        <w:rPr>
          <w:rFonts w:ascii="Calibri" w:hAnsi="Calibri"/>
          <w:noProof/>
          <w:kern w:val="2"/>
          <w:lang w:val="en-RU" w:eastAsia="en-GB"/>
        </w:rPr>
      </w:pPr>
      <w:hyperlink w:anchor="_Toc205532926" w:history="1">
        <w:r w:rsidRPr="007302DE">
          <w:rPr>
            <w:rStyle w:val="Hyperlink"/>
            <w:noProof/>
          </w:rPr>
          <w:t>БКС Экспресс, 07.08.2025, Пенсионные фонды скупают биткойн</w:t>
        </w:r>
        <w:r>
          <w:rPr>
            <w:noProof/>
            <w:webHidden/>
          </w:rPr>
          <w:tab/>
        </w:r>
        <w:r>
          <w:rPr>
            <w:noProof/>
            <w:webHidden/>
          </w:rPr>
          <w:fldChar w:fldCharType="begin"/>
        </w:r>
        <w:r>
          <w:rPr>
            <w:noProof/>
            <w:webHidden/>
          </w:rPr>
          <w:instrText xml:space="preserve"> PAGEREF _Toc205532926 \h </w:instrText>
        </w:r>
        <w:r>
          <w:rPr>
            <w:noProof/>
            <w:webHidden/>
          </w:rPr>
        </w:r>
        <w:r>
          <w:rPr>
            <w:noProof/>
            <w:webHidden/>
          </w:rPr>
          <w:fldChar w:fldCharType="separate"/>
        </w:r>
        <w:r>
          <w:rPr>
            <w:noProof/>
            <w:webHidden/>
          </w:rPr>
          <w:t>51</w:t>
        </w:r>
        <w:r>
          <w:rPr>
            <w:noProof/>
            <w:webHidden/>
          </w:rPr>
          <w:fldChar w:fldCharType="end"/>
        </w:r>
      </w:hyperlink>
    </w:p>
    <w:p w:rsidR="009B3F42" w:rsidRDefault="009B3F42">
      <w:pPr>
        <w:pStyle w:val="TOC3"/>
        <w:rPr>
          <w:rFonts w:ascii="Calibri" w:hAnsi="Calibri"/>
          <w:kern w:val="2"/>
          <w:lang w:val="en-RU" w:eastAsia="en-GB"/>
        </w:rPr>
      </w:pPr>
      <w:hyperlink w:anchor="_Toc205532927" w:history="1">
        <w:r w:rsidRPr="007302DE">
          <w:rPr>
            <w:rStyle w:val="Hyperlink"/>
          </w:rPr>
          <w:t>Биткойн отскакивает от апрельской трендовой — намечается очередная волна роста. Американские компании и пенсионные фонды наращивают покупки криптовалют. Чего ждать в ближайшие дни?</w:t>
        </w:r>
        <w:r>
          <w:rPr>
            <w:webHidden/>
          </w:rPr>
          <w:tab/>
        </w:r>
        <w:r>
          <w:rPr>
            <w:webHidden/>
          </w:rPr>
          <w:fldChar w:fldCharType="begin"/>
        </w:r>
        <w:r>
          <w:rPr>
            <w:webHidden/>
          </w:rPr>
          <w:instrText xml:space="preserve"> PAGEREF _Toc205532927 \h </w:instrText>
        </w:r>
        <w:r>
          <w:rPr>
            <w:webHidden/>
          </w:rPr>
        </w:r>
        <w:r>
          <w:rPr>
            <w:webHidden/>
          </w:rPr>
          <w:fldChar w:fldCharType="separate"/>
        </w:r>
        <w:r>
          <w:rPr>
            <w:webHidden/>
          </w:rPr>
          <w:t>51</w:t>
        </w:r>
        <w:r>
          <w:rPr>
            <w:webHidden/>
          </w:rPr>
          <w:fldChar w:fldCharType="end"/>
        </w:r>
      </w:hyperlink>
    </w:p>
    <w:p w:rsidR="009B3F42" w:rsidRDefault="009B3F42">
      <w:pPr>
        <w:pStyle w:val="TOC2"/>
        <w:tabs>
          <w:tab w:val="right" w:leader="dot" w:pos="9061"/>
        </w:tabs>
        <w:rPr>
          <w:rFonts w:ascii="Calibri" w:hAnsi="Calibri"/>
          <w:noProof/>
          <w:kern w:val="2"/>
          <w:lang w:val="en-RU" w:eastAsia="en-GB"/>
        </w:rPr>
      </w:pPr>
      <w:hyperlink w:anchor="_Toc205532928" w:history="1">
        <w:r w:rsidRPr="007302DE">
          <w:rPr>
            <w:rStyle w:val="Hyperlink"/>
            <w:noProof/>
          </w:rPr>
          <w:t>Sostav.Ru, 08.08.2025, Крипта в пенсиях: США готовится вкладывать триллионы в BTC. А в России такое вообще возможно?</w:t>
        </w:r>
        <w:r>
          <w:rPr>
            <w:noProof/>
            <w:webHidden/>
          </w:rPr>
          <w:tab/>
        </w:r>
        <w:r>
          <w:rPr>
            <w:noProof/>
            <w:webHidden/>
          </w:rPr>
          <w:fldChar w:fldCharType="begin"/>
        </w:r>
        <w:r>
          <w:rPr>
            <w:noProof/>
            <w:webHidden/>
          </w:rPr>
          <w:instrText xml:space="preserve"> PAGEREF _Toc205532928 \h </w:instrText>
        </w:r>
        <w:r>
          <w:rPr>
            <w:noProof/>
            <w:webHidden/>
          </w:rPr>
        </w:r>
        <w:r>
          <w:rPr>
            <w:noProof/>
            <w:webHidden/>
          </w:rPr>
          <w:fldChar w:fldCharType="separate"/>
        </w:r>
        <w:r>
          <w:rPr>
            <w:noProof/>
            <w:webHidden/>
          </w:rPr>
          <w:t>54</w:t>
        </w:r>
        <w:r>
          <w:rPr>
            <w:noProof/>
            <w:webHidden/>
          </w:rPr>
          <w:fldChar w:fldCharType="end"/>
        </w:r>
      </w:hyperlink>
    </w:p>
    <w:p w:rsidR="009B3F42" w:rsidRDefault="009B3F42">
      <w:pPr>
        <w:pStyle w:val="TOC3"/>
        <w:rPr>
          <w:rFonts w:ascii="Calibri" w:hAnsi="Calibri"/>
          <w:kern w:val="2"/>
          <w:lang w:val="en-RU" w:eastAsia="en-GB"/>
        </w:rPr>
      </w:pPr>
      <w:hyperlink w:anchor="_Toc205532929" w:history="1">
        <w:r w:rsidRPr="007302DE">
          <w:rPr>
            <w:rStyle w:val="Hyperlink"/>
          </w:rPr>
          <w:t>7 августа стало известно, что Дональд Трамп подпишет указ о включении криптовалют в пенсионные накопления американцев по системе 401(k). Это более $12,5 триллионов инвестиций, которые теперь смогут частично идти в BTC, ETH, частные компании и даже недвижимость.</w:t>
        </w:r>
        <w:r>
          <w:rPr>
            <w:webHidden/>
          </w:rPr>
          <w:tab/>
        </w:r>
        <w:r>
          <w:rPr>
            <w:webHidden/>
          </w:rPr>
          <w:fldChar w:fldCharType="begin"/>
        </w:r>
        <w:r>
          <w:rPr>
            <w:webHidden/>
          </w:rPr>
          <w:instrText xml:space="preserve"> PAGEREF _Toc205532929 \h </w:instrText>
        </w:r>
        <w:r>
          <w:rPr>
            <w:webHidden/>
          </w:rPr>
        </w:r>
        <w:r>
          <w:rPr>
            <w:webHidden/>
          </w:rPr>
          <w:fldChar w:fldCharType="separate"/>
        </w:r>
        <w:r>
          <w:rPr>
            <w:webHidden/>
          </w:rPr>
          <w:t>54</w:t>
        </w:r>
        <w:r>
          <w:rPr>
            <w:webHidden/>
          </w:rPr>
          <w:fldChar w:fldCharType="end"/>
        </w:r>
      </w:hyperlink>
    </w:p>
    <w:p w:rsidR="009B3F42" w:rsidRDefault="009B3F42">
      <w:pPr>
        <w:pStyle w:val="TOC2"/>
        <w:tabs>
          <w:tab w:val="right" w:leader="dot" w:pos="9061"/>
        </w:tabs>
        <w:rPr>
          <w:rFonts w:ascii="Calibri" w:hAnsi="Calibri"/>
          <w:noProof/>
          <w:kern w:val="2"/>
          <w:lang w:val="en-RU" w:eastAsia="en-GB"/>
        </w:rPr>
      </w:pPr>
      <w:hyperlink w:anchor="_Toc205532930" w:history="1">
        <w:r w:rsidRPr="007302DE">
          <w:rPr>
            <w:rStyle w:val="Hyperlink"/>
            <w:noProof/>
          </w:rPr>
          <w:t>Первое студенческое агенство, 07.08.2025, Трансгендерных* военнослужащих ВВС США лишат пенсий при увольнении</w:t>
        </w:r>
        <w:r>
          <w:rPr>
            <w:noProof/>
            <w:webHidden/>
          </w:rPr>
          <w:tab/>
        </w:r>
        <w:r>
          <w:rPr>
            <w:noProof/>
            <w:webHidden/>
          </w:rPr>
          <w:fldChar w:fldCharType="begin"/>
        </w:r>
        <w:r>
          <w:rPr>
            <w:noProof/>
            <w:webHidden/>
          </w:rPr>
          <w:instrText xml:space="preserve"> PAGEREF _Toc205532930 \h </w:instrText>
        </w:r>
        <w:r>
          <w:rPr>
            <w:noProof/>
            <w:webHidden/>
          </w:rPr>
        </w:r>
        <w:r>
          <w:rPr>
            <w:noProof/>
            <w:webHidden/>
          </w:rPr>
          <w:fldChar w:fldCharType="separate"/>
        </w:r>
        <w:r>
          <w:rPr>
            <w:noProof/>
            <w:webHidden/>
          </w:rPr>
          <w:t>55</w:t>
        </w:r>
        <w:r>
          <w:rPr>
            <w:noProof/>
            <w:webHidden/>
          </w:rPr>
          <w:fldChar w:fldCharType="end"/>
        </w:r>
      </w:hyperlink>
    </w:p>
    <w:p w:rsidR="009B3F42" w:rsidRDefault="009B3F42">
      <w:pPr>
        <w:pStyle w:val="TOC3"/>
        <w:rPr>
          <w:rFonts w:ascii="Calibri" w:hAnsi="Calibri"/>
          <w:kern w:val="2"/>
          <w:lang w:val="en-RU" w:eastAsia="en-GB"/>
        </w:rPr>
      </w:pPr>
      <w:hyperlink w:anchor="_Toc205532931" w:history="1">
        <w:r w:rsidRPr="007302DE">
          <w:rPr>
            <w:rStyle w:val="Hyperlink"/>
          </w:rPr>
          <w:t>В четверг, 7 августа, командование американских ВВС заявило, что откажут всем трансгендерным* военнослужащим, прослужившим от 15 до 18 лет, в досрочном выходе на пенсию, уволив их вместо этого без пенсионного обеспечения, сообщает информационное агентство Associated Press.</w:t>
        </w:r>
        <w:r>
          <w:rPr>
            <w:webHidden/>
          </w:rPr>
          <w:tab/>
        </w:r>
        <w:r>
          <w:rPr>
            <w:webHidden/>
          </w:rPr>
          <w:fldChar w:fldCharType="begin"/>
        </w:r>
        <w:r>
          <w:rPr>
            <w:webHidden/>
          </w:rPr>
          <w:instrText xml:space="preserve"> PAGEREF _Toc205532931 \h </w:instrText>
        </w:r>
        <w:r>
          <w:rPr>
            <w:webHidden/>
          </w:rPr>
        </w:r>
        <w:r>
          <w:rPr>
            <w:webHidden/>
          </w:rPr>
          <w:fldChar w:fldCharType="separate"/>
        </w:r>
        <w:r>
          <w:rPr>
            <w:webHidden/>
          </w:rPr>
          <w:t>55</w:t>
        </w:r>
        <w:r>
          <w:rPr>
            <w:webHidden/>
          </w:rPr>
          <w:fldChar w:fldCharType="end"/>
        </w:r>
      </w:hyperlink>
    </w:p>
    <w:p w:rsidR="009B3F42" w:rsidRDefault="009B3F42">
      <w:pPr>
        <w:pStyle w:val="TOC2"/>
        <w:tabs>
          <w:tab w:val="right" w:leader="dot" w:pos="9061"/>
        </w:tabs>
        <w:rPr>
          <w:rFonts w:ascii="Calibri" w:hAnsi="Calibri"/>
          <w:noProof/>
          <w:kern w:val="2"/>
          <w:lang w:val="en-RU" w:eastAsia="en-GB"/>
        </w:rPr>
      </w:pPr>
      <w:hyperlink w:anchor="_Toc205532932" w:history="1">
        <w:r w:rsidRPr="007302DE">
          <w:rPr>
            <w:rStyle w:val="Hyperlink"/>
            <w:noProof/>
          </w:rPr>
          <w:t>Коммерсантъ, 07.08.2025, Население Японии сократилось на рекордные 900 тыс. человек</w:t>
        </w:r>
        <w:r>
          <w:rPr>
            <w:noProof/>
            <w:webHidden/>
          </w:rPr>
          <w:tab/>
        </w:r>
        <w:r>
          <w:rPr>
            <w:noProof/>
            <w:webHidden/>
          </w:rPr>
          <w:fldChar w:fldCharType="begin"/>
        </w:r>
        <w:r>
          <w:rPr>
            <w:noProof/>
            <w:webHidden/>
          </w:rPr>
          <w:instrText xml:space="preserve"> PAGEREF _Toc205532932 \h </w:instrText>
        </w:r>
        <w:r>
          <w:rPr>
            <w:noProof/>
            <w:webHidden/>
          </w:rPr>
        </w:r>
        <w:r>
          <w:rPr>
            <w:noProof/>
            <w:webHidden/>
          </w:rPr>
          <w:fldChar w:fldCharType="separate"/>
        </w:r>
        <w:r>
          <w:rPr>
            <w:noProof/>
            <w:webHidden/>
          </w:rPr>
          <w:t>56</w:t>
        </w:r>
        <w:r>
          <w:rPr>
            <w:noProof/>
            <w:webHidden/>
          </w:rPr>
          <w:fldChar w:fldCharType="end"/>
        </w:r>
      </w:hyperlink>
    </w:p>
    <w:p w:rsidR="009B3F42" w:rsidRDefault="009B3F42">
      <w:pPr>
        <w:pStyle w:val="TOC3"/>
        <w:rPr>
          <w:rFonts w:ascii="Calibri" w:hAnsi="Calibri"/>
          <w:kern w:val="2"/>
          <w:lang w:val="en-RU" w:eastAsia="en-GB"/>
        </w:rPr>
      </w:pPr>
      <w:hyperlink w:anchor="_Toc205532933" w:history="1">
        <w:r w:rsidRPr="007302DE">
          <w:rPr>
            <w:rStyle w:val="Hyperlink"/>
          </w:rPr>
          <w:t>Министерство иностранных дел Японии заявило о рекордном сокращении населения на 900 тыс. человек за прошедший 2024 год, в то же время отмечая рекордный прирост количества иностранных резидентов. С момента достижения пикового значения в 126,6 миллиона в 2009 году население сокращается уже 16 лет подряд. Эксперты прогнозируют, что к 2026 году количество жителей Японии составит менее 120 млн.</w:t>
        </w:r>
        <w:r>
          <w:rPr>
            <w:webHidden/>
          </w:rPr>
          <w:tab/>
        </w:r>
        <w:r>
          <w:rPr>
            <w:webHidden/>
          </w:rPr>
          <w:fldChar w:fldCharType="begin"/>
        </w:r>
        <w:r>
          <w:rPr>
            <w:webHidden/>
          </w:rPr>
          <w:instrText xml:space="preserve"> PAGEREF _Toc205532933 \h </w:instrText>
        </w:r>
        <w:r>
          <w:rPr>
            <w:webHidden/>
          </w:rPr>
        </w:r>
        <w:r>
          <w:rPr>
            <w:webHidden/>
          </w:rPr>
          <w:fldChar w:fldCharType="separate"/>
        </w:r>
        <w:r>
          <w:rPr>
            <w:webHidden/>
          </w:rPr>
          <w:t>56</w:t>
        </w:r>
        <w:r>
          <w:rPr>
            <w:webHidden/>
          </w:rPr>
          <w:fldChar w:fldCharType="end"/>
        </w:r>
      </w:hyperlink>
    </w:p>
    <w:p w:rsidR="00A0290C" w:rsidRPr="00F64CF5" w:rsidRDefault="0099337B" w:rsidP="00310633">
      <w:pPr>
        <w:rPr>
          <w:b/>
          <w:caps/>
          <w:sz w:val="32"/>
        </w:rPr>
      </w:pPr>
      <w:r w:rsidRPr="00F64CF5">
        <w:rPr>
          <w:caps/>
          <w:sz w:val="28"/>
        </w:rPr>
        <w:fldChar w:fldCharType="end"/>
      </w:r>
    </w:p>
    <w:p w:rsidR="00D1642B" w:rsidRPr="00F64CF5" w:rsidRDefault="00D1642B" w:rsidP="00D1642B">
      <w:pPr>
        <w:pStyle w:val="251"/>
      </w:pPr>
      <w:bookmarkStart w:id="16" w:name="_Toc396864664"/>
      <w:bookmarkStart w:id="17" w:name="_Toc99318652"/>
      <w:bookmarkStart w:id="18" w:name="_Toc246216291"/>
      <w:bookmarkStart w:id="19" w:name="_Toc246297418"/>
      <w:bookmarkStart w:id="20" w:name="_Toc205532846"/>
      <w:bookmarkEnd w:id="8"/>
      <w:bookmarkEnd w:id="9"/>
      <w:bookmarkEnd w:id="10"/>
      <w:bookmarkEnd w:id="11"/>
      <w:bookmarkEnd w:id="12"/>
      <w:bookmarkEnd w:id="13"/>
      <w:bookmarkEnd w:id="14"/>
      <w:bookmarkEnd w:id="15"/>
      <w:r w:rsidRPr="00F64CF5">
        <w:lastRenderedPageBreak/>
        <w:t>НОВОСТИ ПЕНСИОННОЙ ОТРАСЛИ</w:t>
      </w:r>
      <w:bookmarkEnd w:id="16"/>
      <w:bookmarkEnd w:id="17"/>
      <w:bookmarkEnd w:id="20"/>
    </w:p>
    <w:p w:rsidR="00111D7C" w:rsidRPr="00F64CF5" w:rsidRDefault="00111D7C" w:rsidP="00111D7C">
      <w:pPr>
        <w:pStyle w:val="Heading1"/>
      </w:pPr>
      <w:bookmarkStart w:id="21" w:name="_Toc99271685"/>
      <w:bookmarkStart w:id="22" w:name="_Toc99318653"/>
      <w:bookmarkStart w:id="23" w:name="_Toc165991072"/>
      <w:bookmarkStart w:id="24" w:name="_Toc246987631"/>
      <w:bookmarkStart w:id="25" w:name="_Toc248632297"/>
      <w:bookmarkStart w:id="26" w:name="_Toc251223975"/>
      <w:bookmarkStart w:id="27" w:name="_Toc205532847"/>
      <w:bookmarkEnd w:id="18"/>
      <w:bookmarkEnd w:id="19"/>
      <w:r w:rsidRPr="00F64CF5">
        <w:t>Новости отрасли НПФ</w:t>
      </w:r>
      <w:bookmarkEnd w:id="21"/>
      <w:bookmarkEnd w:id="22"/>
      <w:bookmarkEnd w:id="23"/>
      <w:bookmarkEnd w:id="27"/>
    </w:p>
    <w:p w:rsidR="004C4BC8" w:rsidRPr="00F64CF5" w:rsidRDefault="004C4BC8" w:rsidP="004C4BC8">
      <w:pPr>
        <w:pStyle w:val="Heading2"/>
      </w:pPr>
      <w:bookmarkStart w:id="28" w:name="a1"/>
      <w:bookmarkStart w:id="29" w:name="_Toc205532848"/>
      <w:bookmarkEnd w:id="28"/>
      <w:r w:rsidRPr="00F64CF5">
        <w:t>Ваш Пенсионный Брокер, 07.08.2025, НПФ «ПЕРСПЕКТИВА» проиндексировал размер накопительных пенсий и срочных выплат</w:t>
      </w:r>
      <w:bookmarkEnd w:id="29"/>
    </w:p>
    <w:p w:rsidR="004C4BC8" w:rsidRPr="00F64CF5" w:rsidRDefault="004C4BC8" w:rsidP="00623EE5">
      <w:pPr>
        <w:pStyle w:val="Heading3"/>
      </w:pPr>
      <w:bookmarkStart w:id="30" w:name="_Toc205532849"/>
      <w:r w:rsidRPr="00F64CF5">
        <w:t>С 1 августа 2025 года размер накопительной пенсии и срочной пенсионной выплаты клиентов НПФ «ПЕРСПЕКТИВА» вырос в среднем на 12,8%.</w:t>
      </w:r>
      <w:bookmarkEnd w:id="30"/>
    </w:p>
    <w:p w:rsidR="004C4BC8" w:rsidRPr="00F64CF5" w:rsidRDefault="004C4BC8" w:rsidP="004C4BC8">
      <w:r w:rsidRPr="00F64CF5">
        <w:t>Накопительная пенсия и срочная пенсионная выплата подлежат ежегодной индексации - повышению за счет инвестиционного дохода, полученного за предыдущий календарный год. Назначенные размеры выплат не могут быть уменьшены в случае, если результат инвестирования предыдущего года будет отрицательным. Обратиться за назначением выплаты за счет пенсионных накоплений могут застрахованные лица при достижении установленного законом возраста (55 лет для женщин и 60 - для мужчин) или при наличии права на досрочное пенсионное обеспечение (перечень категорий граждан, имеющих право на досрочное пенсионное обеспечение по старости, закреплен в гл. 6 Федерального закона от 28.12.2013 № 400-ФЗ «О страховых пенсиях»).</w:t>
      </w:r>
    </w:p>
    <w:p w:rsidR="004C4BC8" w:rsidRPr="00F64CF5" w:rsidRDefault="004C4BC8" w:rsidP="004C4BC8">
      <w:r w:rsidRPr="00F64CF5">
        <w:t xml:space="preserve">За счет пенсионных накоплений могут быть назначены следующие выплаты: </w:t>
      </w:r>
    </w:p>
    <w:p w:rsidR="004C4BC8" w:rsidRPr="00F64CF5" w:rsidRDefault="004C4BC8" w:rsidP="004C4BC8">
      <w:r w:rsidRPr="00F64CF5">
        <w:t>•</w:t>
      </w:r>
      <w:r w:rsidRPr="00F64CF5">
        <w:tab/>
        <w:t xml:space="preserve">единовременная выплата: подразумевает выплату всей суммы накоплений, учтенных на пенсионном счете застрахованного лица; </w:t>
      </w:r>
    </w:p>
    <w:p w:rsidR="004C4BC8" w:rsidRPr="00F64CF5" w:rsidRDefault="004C4BC8" w:rsidP="004C4BC8">
      <w:r w:rsidRPr="00F64CF5">
        <w:t>•</w:t>
      </w:r>
      <w:r w:rsidRPr="00F64CF5">
        <w:tab/>
        <w:t xml:space="preserve">срочная пенсионная выплата: осуществляется ежемесячно в течение определённого срока, но не менее 10 лет; </w:t>
      </w:r>
    </w:p>
    <w:p w:rsidR="004C4BC8" w:rsidRPr="00F64CF5" w:rsidRDefault="004C4BC8" w:rsidP="004C4BC8">
      <w:r w:rsidRPr="00F64CF5">
        <w:t>•</w:t>
      </w:r>
      <w:r w:rsidRPr="00F64CF5">
        <w:tab/>
        <w:t xml:space="preserve">накопительная пенсия: выплачивается пожизненно. </w:t>
      </w:r>
    </w:p>
    <w:p w:rsidR="004C4BC8" w:rsidRPr="00F64CF5" w:rsidRDefault="004C4BC8" w:rsidP="004C4BC8">
      <w:r w:rsidRPr="00F64CF5">
        <w:t>Узнать новый размер установленной выплаты, отслеживать состояние пенсионного счёта, а также подключить дополнительный инструмент для формирования накоплений (индивидуальный пенсионный план) клиенты фонда могут в Личном кабинете НПФ «ПЕРСПЕКТИВА».</w:t>
      </w:r>
    </w:p>
    <w:p w:rsidR="004C4BC8" w:rsidRPr="00F64CF5" w:rsidRDefault="00000000" w:rsidP="004C4BC8">
      <w:hyperlink r:id="rId8" w:history="1">
        <w:r w:rsidR="004C4BC8" w:rsidRPr="00F64CF5">
          <w:rPr>
            <w:rStyle w:val="Hyperlink"/>
          </w:rPr>
          <w:t>http://pbroker.ru/?p=80589</w:t>
        </w:r>
      </w:hyperlink>
      <w:r w:rsidR="004C4BC8" w:rsidRPr="00F64CF5">
        <w:t xml:space="preserve"> </w:t>
      </w:r>
    </w:p>
    <w:p w:rsidR="004C4BC8" w:rsidRPr="00F64CF5" w:rsidRDefault="004C4BC8" w:rsidP="004C4BC8">
      <w:pPr>
        <w:pStyle w:val="Heading2"/>
      </w:pPr>
      <w:bookmarkStart w:id="31" w:name="a2"/>
      <w:bookmarkStart w:id="32" w:name="_Toc205532850"/>
      <w:bookmarkEnd w:id="31"/>
      <w:r w:rsidRPr="00F64CF5">
        <w:t>Ваш Пенсионный Брокер, 07.08.2025, НПФ ПСБ подвел итоги деятельности за 6 месяцев 2025 года</w:t>
      </w:r>
      <w:bookmarkEnd w:id="32"/>
    </w:p>
    <w:p w:rsidR="004C4BC8" w:rsidRPr="00F64CF5" w:rsidRDefault="004C4BC8" w:rsidP="00623EE5">
      <w:pPr>
        <w:pStyle w:val="Heading3"/>
      </w:pPr>
      <w:bookmarkStart w:id="33" w:name="_Toc205532851"/>
      <w:r w:rsidRPr="00F64CF5">
        <w:t>АО НПФ ПСБ представил отчетность за первое полугодие 2025 года в Банк России.</w:t>
      </w:r>
      <w:bookmarkEnd w:id="33"/>
    </w:p>
    <w:p w:rsidR="004C4BC8" w:rsidRPr="00F64CF5" w:rsidRDefault="004C4BC8" w:rsidP="004C4BC8">
      <w:r w:rsidRPr="00F64CF5">
        <w:t>Доходность размещения пенсионных резервов — средств клиентов по договорам долгосрочных сбережений (программа ПДС) и пенсионным договорам на 30.06.2025 составила 21,51% годовых*.</w:t>
      </w:r>
    </w:p>
    <w:p w:rsidR="004C4BC8" w:rsidRPr="00F64CF5" w:rsidRDefault="004C4BC8" w:rsidP="004C4BC8">
      <w:r w:rsidRPr="00F64CF5">
        <w:lastRenderedPageBreak/>
        <w:t>Доходность инвестирования пенсионных накоплений — средств, сформированных по договорам об обязательном пенсионном страховании — составила 20,80% годовых**.</w:t>
      </w:r>
    </w:p>
    <w:p w:rsidR="004C4BC8" w:rsidRPr="00F64CF5" w:rsidRDefault="004C4BC8" w:rsidP="004C4BC8">
      <w:r w:rsidRPr="00F64CF5">
        <w:t>Активы фонда за первое полугодие выросли на 21% и составили 16,2 млрд рублей, пенсионные резервы — 11,7 млрд рублей, пенсионные накопления — 3,9 млрд. рублей.</w:t>
      </w:r>
    </w:p>
    <w:p w:rsidR="004C4BC8" w:rsidRPr="00F64CF5" w:rsidRDefault="004C4BC8" w:rsidP="004C4BC8">
      <w:r w:rsidRPr="00F64CF5">
        <w:t>По состоянию на 30.06.2025 года свыше 29 тысяч граждан являются клиентами фонда по ПДС, а общий размер взносов, поступивших в фонд по договорам долгосрочных сбережений, составил более 1,6 млрд. рублей.</w:t>
      </w:r>
    </w:p>
    <w:p w:rsidR="004C4BC8" w:rsidRPr="00F64CF5" w:rsidRDefault="004C4BC8" w:rsidP="004C4BC8">
      <w:r w:rsidRPr="00F64CF5">
        <w:t>Клиенты АО НПФ ПСБ активно переводят в программу долгосрочных сбережений пенсионные накопления, сформированные ими в фонде по договорам ОПС - свыше 44 млн рублей пенсионных накоплений переведено за отчетный период.</w:t>
      </w:r>
    </w:p>
    <w:p w:rsidR="004C4BC8" w:rsidRPr="00F64CF5" w:rsidRDefault="004C4BC8" w:rsidP="004C4BC8">
      <w:r w:rsidRPr="00F64CF5">
        <w:t>Государство поддерживает участие граждан в программе долгосрочных сбережений: по взносам клиентов АО НПФ ПСБ, внесенным в 2024 году, фонд ожидает поступление дополнительных стимулирующих взносов государства уже в августе. Таким образом, средства клиентов будут увеличены до 100%.</w:t>
      </w:r>
    </w:p>
    <w:p w:rsidR="004C4BC8" w:rsidRPr="00F64CF5" w:rsidRDefault="004C4BC8" w:rsidP="004C4BC8">
      <w:r w:rsidRPr="00F64CF5">
        <w:t>«Программа долгосрочных сбережений — самый эффективный сберегательный инструмент с государственной поддержкой. Мы видим возрастающий интерес со стороны граждан к ПДС. В первом полугодии 2025 года число клиентов АО НПФ ПСБ значительно увеличилось благодаря привлекательным условиям программы, высокой инвестиционной доходности нашего фонда и повышенной процентной ставке по вкладу в ПАО «Банк ПСБ», доступному клиентам после оформления ПДС», — комментирует Генеральный директор АО НПФ ПСБ Геннадий Павлов.</w:t>
      </w:r>
    </w:p>
    <w:p w:rsidR="004C4BC8" w:rsidRPr="00F64CF5" w:rsidRDefault="004C4BC8" w:rsidP="004C4BC8">
      <w:r w:rsidRPr="00F64CF5">
        <w:t>Оформить договор долгосрочных сбережений можно в офисах и на сайте фонда, а также в офисах, интернет-банке и мобильном приложении ПАО «Банк ПСБ».</w:t>
      </w:r>
    </w:p>
    <w:p w:rsidR="004C4BC8" w:rsidRPr="00F64CF5" w:rsidRDefault="004C4BC8" w:rsidP="004C4BC8">
      <w:r w:rsidRPr="00F64CF5">
        <w:t>______________________________________</w:t>
      </w:r>
    </w:p>
    <w:p w:rsidR="004C4BC8" w:rsidRPr="00F64CF5" w:rsidRDefault="004C4BC8" w:rsidP="004C4BC8">
      <w:r w:rsidRPr="00F64CF5">
        <w:t>* Доходность размещения средств пенсионных резервов до выплаты вознаграждения управляющим компаниям, специализированному депозитарию и фонду с начала года на отчетную дату, в процентах годовых</w:t>
      </w:r>
    </w:p>
    <w:p w:rsidR="004C4BC8" w:rsidRPr="00F64CF5" w:rsidRDefault="004C4BC8" w:rsidP="004C4BC8">
      <w:r w:rsidRPr="00F64CF5">
        <w:t>** Доходность инвестирования средств пенсионных накоплений до выплаты вознаграждения фонду на отчетную дату, в процентах годовых</w:t>
      </w:r>
    </w:p>
    <w:p w:rsidR="00111D7C" w:rsidRPr="00F64CF5" w:rsidRDefault="00000000" w:rsidP="004C4BC8">
      <w:hyperlink r:id="rId9" w:history="1">
        <w:r w:rsidR="004C4BC8" w:rsidRPr="00F64CF5">
          <w:rPr>
            <w:rStyle w:val="Hyperlink"/>
          </w:rPr>
          <w:t>http://pbroker.ru/?p=80591</w:t>
        </w:r>
      </w:hyperlink>
    </w:p>
    <w:p w:rsidR="0002416F" w:rsidRPr="00F64CF5" w:rsidRDefault="0002416F" w:rsidP="0002416F">
      <w:pPr>
        <w:pStyle w:val="Heading2"/>
      </w:pPr>
      <w:bookmarkStart w:id="34" w:name="a3"/>
      <w:bookmarkStart w:id="35" w:name="_Toc205532852"/>
      <w:bookmarkEnd w:id="34"/>
      <w:r w:rsidRPr="00F64CF5">
        <w:t>ЭкоГрад, 07.08.2025, Объём активов НПФ Эволюция за первое полугодие 2025 года составил 455 млрд рублей</w:t>
      </w:r>
      <w:bookmarkEnd w:id="35"/>
      <w:r w:rsidRPr="00F64CF5">
        <w:t xml:space="preserve"> </w:t>
      </w:r>
    </w:p>
    <w:p w:rsidR="0002416F" w:rsidRPr="00F64CF5" w:rsidRDefault="0002416F" w:rsidP="00623EE5">
      <w:pPr>
        <w:pStyle w:val="Heading3"/>
      </w:pPr>
      <w:bookmarkStart w:id="36" w:name="_Toc205532853"/>
      <w:r w:rsidRPr="00F64CF5">
        <w:t>НПФ Эволюция опубликовал бухгалтерскую (финансовую) отчетность по итогам I полугодия 2025 года. Объем активов фонда за второй квартал увеличился на 23 млрд и на конец июня 2025 года достиг 455 млрд рублей. Динамика показывает, что фонд в течение длительного времени планомерно наращивает активы, удерживает ведущие позиции в своей сфере.</w:t>
      </w:r>
      <w:bookmarkEnd w:id="36"/>
    </w:p>
    <w:p w:rsidR="0002416F" w:rsidRPr="00F64CF5" w:rsidRDefault="0002416F" w:rsidP="0002416F">
      <w:r w:rsidRPr="00F64CF5">
        <w:t xml:space="preserve">Сумма обязательств НПФ с учетом корректировок по МСФО 17 составила 383 млрд рублей, это выше данных первого квартала на 5% (364 млрд рублей). При этом уменьшилась сумма обязательств в рамках договоров обязательного пенсионного </w:t>
      </w:r>
      <w:r w:rsidRPr="00F64CF5">
        <w:lastRenderedPageBreak/>
        <w:t>страхования (ОПС) на 10% и по итогам I полугодия 2025 года этот показатель составил 184 млрд. рублей. Сумма обязательств по договорам негосударственного пенсионного обеспечения (НПО) и долгосрочных сбережений (ДС) достигла 198 млрд рублей, что выше данных первого квартала этого года на 23% (160 млрд рублей).</w:t>
      </w:r>
    </w:p>
    <w:p w:rsidR="0002416F" w:rsidRPr="00F64CF5" w:rsidRDefault="0002416F" w:rsidP="0002416F">
      <w:r w:rsidRPr="00F64CF5">
        <w:t>Взносы клиентов по договорам ОПС, НПО и долгосрочным сбережениям составили 28,2 млрд рублей. Это больше аналогичных показателей 2024 года на 63%. Положительная динамика связана с ростом интереса клиентов к флагманским продуктам фонда – программе долгосрочных сбережений и корпоративной пенсионной программе.</w:t>
      </w:r>
    </w:p>
    <w:p w:rsidR="0002416F" w:rsidRPr="00F64CF5" w:rsidRDefault="0002416F" w:rsidP="0002416F">
      <w:r w:rsidRPr="00F64CF5">
        <w:t>Объем выплат фонда пенсионерам стабильно растет: за I полугодие 2025 года НПФ Эволюция перечислил своим клиентам 8,9 млрд рублей. Это выше аналогичных показателей 2024 года на 33% (6,7 млрд рублей). Основную часть выплат составили пенсии клиентов в рамках негосударственного пенсионного обеспечения.</w:t>
      </w:r>
    </w:p>
    <w:p w:rsidR="0002416F" w:rsidRPr="00F64CF5" w:rsidRDefault="0002416F" w:rsidP="0002416F">
      <w:r w:rsidRPr="00F64CF5">
        <w:t>Доходы от инвестиционной и финансовой деятельности достигли 2,9 млрд рублей, что на 1,7 млрд рублей превышает показатель аналогичного периода прошлого года. Такой рост обусловлен, в первую очередь, более высоким уровнем ставок по депозитам и ростом стоимости облигаций. На фоне ужесточения денежно-кредитной политики Банка России благодаря реализации сбалансированной инвестиционной стратегии в периоде, доходность инвестиционного портфеля увеличилась.</w:t>
      </w:r>
    </w:p>
    <w:p w:rsidR="0002416F" w:rsidRPr="00F64CF5" w:rsidRDefault="0002416F" w:rsidP="0002416F">
      <w:r w:rsidRPr="00F64CF5">
        <w:t>В мае 2025 года рейтинговое агентство «Эксперт РА» подтвердило максимальную надежность НПФ Эволюция на уровне ААА. Также, «Национальное рейтинговое агентство» (НРА) в шестой раз подряд подтвердило некредитный рейтинг надежности и качества услуг НПФ Эволюция по национальной рейтинговой шкале негосударственных пенсионных фондов на уровне «ААА|ru.pf|».</w:t>
      </w:r>
    </w:p>
    <w:p w:rsidR="0002416F" w:rsidRPr="00F64CF5" w:rsidRDefault="0002416F" w:rsidP="0002416F">
      <w:r w:rsidRPr="00F64CF5">
        <w:t>Более подробно с бухгалтерской (финансовой) отчетностью НПФ Эволюция по итогам первого полугодия 2025 года можно ознакомиться на сайте в разделе «Раскрытие информации».</w:t>
      </w:r>
    </w:p>
    <w:p w:rsidR="0002416F" w:rsidRPr="00F64CF5" w:rsidRDefault="0002416F" w:rsidP="0002416F">
      <w:r w:rsidRPr="00F64CF5">
        <w:t>АО «НПФ Эволюция» — один из крупнейших негосударственных пенсионных фондов России, который входит в ТОП-10 НПФ по объему активов. Фонд осуществляет деятельность по пенсионному обеспечению и пенсионному страхованию на основании лицензии Банка России от 08.10.2014 № 436, также является оператором программы долгосрочных сбережений. Фонд успешно работает на пенсионном рынке 25 лет и имеет наивысшие рейтинги от «Эксперт РА» (ruAАA) и «НРА» (ААА|ru.pf|). Среди клиентов АО «НПФ Эволюция» — крупные промышленные предприятия отечественной экономики. Пенсионные сбережения фонду доверили более 2 млн. клиентов. Более детальная информация — на сайте фонда.</w:t>
      </w:r>
    </w:p>
    <w:p w:rsidR="0002416F" w:rsidRPr="00F64CF5" w:rsidRDefault="00000000" w:rsidP="0002416F">
      <w:hyperlink r:id="rId10" w:history="1">
        <w:r w:rsidR="0002416F" w:rsidRPr="00F64CF5">
          <w:rPr>
            <w:rStyle w:val="Hyperlink"/>
          </w:rPr>
          <w:t>http://ekogradmoscow.ru//sreda/sotsialnaja-ekologija/ob-jom-aktivov-npf-evolyutsiya-za-pervoe-polugodie-2025-goda-sostavil-455-mlrd-rublej</w:t>
        </w:r>
      </w:hyperlink>
      <w:r w:rsidR="0002416F" w:rsidRPr="00F64CF5">
        <w:t xml:space="preserve"> </w:t>
      </w:r>
    </w:p>
    <w:p w:rsidR="00A3620D" w:rsidRPr="00F64CF5" w:rsidRDefault="00A3620D" w:rsidP="00A3620D">
      <w:pPr>
        <w:pStyle w:val="Heading2"/>
      </w:pPr>
      <w:bookmarkStart w:id="37" w:name="_Toc205532854"/>
      <w:r w:rsidRPr="00F64CF5">
        <w:lastRenderedPageBreak/>
        <w:t>Ваш Пенсионный Брокер, 07.08.2025, О государственной регистрации изменений, вносимых в устав АО «НПФ Эволюция»</w:t>
      </w:r>
      <w:bookmarkEnd w:id="37"/>
    </w:p>
    <w:p w:rsidR="00A3620D" w:rsidRPr="00F64CF5" w:rsidRDefault="00A3620D" w:rsidP="00623EE5">
      <w:pPr>
        <w:pStyle w:val="Heading3"/>
      </w:pPr>
      <w:bookmarkStart w:id="38" w:name="_Toc205532855"/>
      <w:r w:rsidRPr="00F64CF5">
        <w:t>Банк России 06.08.2025 принял решение зарегистрировать изменения, вносимые в устав Акционерного общества «Негосударственный пенсионный фонд Эволюция» (г. Москва).</w:t>
      </w:r>
      <w:bookmarkEnd w:id="38"/>
    </w:p>
    <w:p w:rsidR="004C4BC8" w:rsidRPr="00F64CF5" w:rsidRDefault="00000000" w:rsidP="00A3620D">
      <w:hyperlink r:id="rId11" w:history="1">
        <w:r w:rsidR="00A3620D" w:rsidRPr="00F64CF5">
          <w:rPr>
            <w:rStyle w:val="Hyperlink"/>
          </w:rPr>
          <w:t>http://pbroker.ru/?p=80613</w:t>
        </w:r>
      </w:hyperlink>
    </w:p>
    <w:p w:rsidR="0094671A" w:rsidRDefault="0094671A" w:rsidP="0094671A">
      <w:pPr>
        <w:pStyle w:val="Heading2"/>
      </w:pPr>
      <w:bookmarkStart w:id="39" w:name="_Toc205532856"/>
      <w:r>
        <w:t>РБК, 07.08.2025, НПФ «Социум» поддержал проект по финансовой грамотности</w:t>
      </w:r>
      <w:bookmarkEnd w:id="39"/>
    </w:p>
    <w:p w:rsidR="0094671A" w:rsidRDefault="0094671A" w:rsidP="00623EE5">
      <w:pPr>
        <w:pStyle w:val="Heading3"/>
      </w:pPr>
      <w:bookmarkStart w:id="40" w:name="_Toc205532857"/>
      <w:r>
        <w:t>НПФ «Социум» принял участие в интерактивном проекте «Резидент столицы финансовой культуры». В 2025 году Нижегородская область получила статус «Столица финансовой культуры», представив новый интерактивный проект «Резидент столицы финансовой культуры».</w:t>
      </w:r>
      <w:bookmarkEnd w:id="40"/>
    </w:p>
    <w:p w:rsidR="0094671A" w:rsidRDefault="0094671A" w:rsidP="0094671A">
      <w:r>
        <w:t>В рамках проекта создан портал «Резидент столицы финансовой культуры» - единая цифровая платформа, на которой зарегистрированные пользователи смогут принять участие в различных мероприятиях по тематике финансовой грамотности и накапливать за это баллы. А далее - обменивать их на фирменный мерч или скидки на посещение культурно-массовых и спортивных мероприятий.</w:t>
      </w:r>
    </w:p>
    <w:p w:rsidR="0094671A" w:rsidRDefault="0094671A" w:rsidP="0094671A">
      <w:r>
        <w:t>Партнером проекта «Резидент столицы финансовой культуры» стала компания «Ингосстрах», которая представила цикл образовательных лекций по финансовой грамотности. Так, директор по развитию НПФ «Социум», волонтер-эксперт проекта «Профессионалы финансовых технологий» Ассоциации развития финансовой грамотности Марина Тришина рассказала о семи вредных денежных привычках и объясняла, как перестроить мышление: от планирования расходов до создания «финансовой подушки». Слушатели проекта узнали, почему мозг сопротивляется финансовой грамотности и как превратить разумное управление деньгами в автоматизм.</w:t>
      </w:r>
    </w:p>
    <w:p w:rsidR="0094671A" w:rsidRDefault="0094671A" w:rsidP="0094671A">
      <w:r>
        <w:t>Посмотреть видео и проверить свои знания можно на сайте портала «Резидент столицы финансовой культуры» по ссылке.</w:t>
      </w:r>
    </w:p>
    <w:p w:rsidR="00A3620D" w:rsidRDefault="00000000" w:rsidP="0094671A">
      <w:hyperlink r:id="rId12" w:history="1">
        <w:r w:rsidR="0094671A" w:rsidRPr="002A4B7F">
          <w:rPr>
            <w:rStyle w:val="Hyperlink"/>
          </w:rPr>
          <w:t>https://companies.rbc.ru/news/Q1HJj2f7FK/npf-sotsium-podderzhal-proekt-po-finansovoj-gramotnosti/</w:t>
        </w:r>
      </w:hyperlink>
    </w:p>
    <w:p w:rsidR="0094671A" w:rsidRPr="00F64CF5" w:rsidRDefault="0094671A" w:rsidP="0094671A"/>
    <w:p w:rsidR="00111D7C" w:rsidRDefault="00111D7C" w:rsidP="00111D7C">
      <w:pPr>
        <w:pStyle w:val="Heading1"/>
      </w:pPr>
      <w:bookmarkStart w:id="41" w:name="_Toc165991073"/>
      <w:bookmarkStart w:id="42" w:name="_Toc99271691"/>
      <w:bookmarkStart w:id="43" w:name="_Toc99318654"/>
      <w:bookmarkStart w:id="44" w:name="_Toc99318783"/>
      <w:bookmarkStart w:id="45" w:name="_Toc396864672"/>
      <w:bookmarkStart w:id="46" w:name="_Toc205532858"/>
      <w:r w:rsidRPr="00F64CF5">
        <w:lastRenderedPageBreak/>
        <w:t>Программа долгосрочных сбережений</w:t>
      </w:r>
      <w:bookmarkEnd w:id="41"/>
      <w:bookmarkEnd w:id="46"/>
    </w:p>
    <w:p w:rsidR="00FE1E12" w:rsidRDefault="00FE1E12" w:rsidP="00FE1E12">
      <w:pPr>
        <w:pStyle w:val="Heading2"/>
      </w:pPr>
      <w:bookmarkStart w:id="47" w:name="_Ведомости,_08.08.2025,_Большинство"/>
      <w:bookmarkStart w:id="48" w:name="_Toc205532859"/>
      <w:bookmarkEnd w:id="47"/>
      <w:r>
        <w:t>Ведомости, 08.08.2025</w:t>
      </w:r>
      <w:r w:rsidRPr="00FE1E12">
        <w:t xml:space="preserve">, </w:t>
      </w:r>
      <w:r>
        <w:t>Большинство россиян не понимают, как управлять замороженной пенсией</w:t>
      </w:r>
      <w:bookmarkEnd w:id="48"/>
    </w:p>
    <w:p w:rsidR="00FE1E12" w:rsidRDefault="00FE1E12" w:rsidP="00FE1E12">
      <w:pPr>
        <w:pStyle w:val="Heading3"/>
      </w:pPr>
      <w:bookmarkStart w:id="49" w:name="_Toc205532860"/>
      <w:r>
        <w:t>Подавляющее большинство россиян (77%) не разбираются в формировании своих пенсионных накоплений и не интересуются этой темой, следует из совместного исследования негосударственного пенсионного фонда (НПФ) "Достойное будущее" и Финансового университета, результаты которого есть в распоряжении "Ведомостей". По этим причинам, говорится в исследовании, россияне не особо мотивированы совершать активные действия со своими накоплениями или переводить их в программу долгосрочных сбережений (ПДС). В опросе участвовали 2000 респондентов по всей стране методом онлайн-анкетирования летом 2025 г.</w:t>
      </w:r>
      <w:bookmarkEnd w:id="49"/>
    </w:p>
    <w:p w:rsidR="00FE1E12" w:rsidRDefault="00FE1E12" w:rsidP="00FE1E12">
      <w:r>
        <w:t>ПДС появилась в России с 2024 г. Чтобы начать формировать сбережения, необходимо заключить договор с НПФ, который является оператором программы. Граждане могут ежегодно получать налоговый вычет от суммы уплаченных взносов в размере до 400 000 руб. за год, софинансирование от государства в размере до 36 000 руб. в год. Деньги можно начать получать через 15 лет или при достижении 55 лет для женщин и 60 лет для мужчин в зависимости от того, что наступит раньше.</w:t>
      </w:r>
    </w:p>
    <w:p w:rsidR="00FE1E12" w:rsidRDefault="00FE1E12" w:rsidP="00FE1E12">
      <w:r>
        <w:t>Eще одна особенность ПДС - возможность добровольного перевода ранее сформированных замороженных пенсионных накоплений в рамках системы обязательного пенсионного страхования (ОПС). С 2014 г. накопительная часть пенсии остается замороженной - в конце 2022 г. заморозку продлили до конца 2025 г.</w:t>
      </w:r>
    </w:p>
    <w:p w:rsidR="00FE1E12" w:rsidRDefault="00FE1E12" w:rsidP="00FE1E12">
      <w:r>
        <w:t>К концу II квартала 2025 г. участниками ПДС стали 5,2 млн человек, подсчитывал ранее Банк России. Объем привлеченных средств составляет 414 млрд руб. с учетом софинансирования от государства и заявлений о переводе пенсионных накоплений. В то же время количество граждан, участвующих в системе ОПС, составляет 72 млн человек (учтены СФР и НПФ), а размер их активов - 6,17 трлн руб., следует из данных ЦБ.</w:t>
      </w:r>
    </w:p>
    <w:p w:rsidR="00FE1E12" w:rsidRDefault="00FE1E12" w:rsidP="00FE1E12">
      <w:r>
        <w:t>Знания не вовлекают</w:t>
      </w:r>
    </w:p>
    <w:p w:rsidR="00FE1E12" w:rsidRDefault="00FE1E12" w:rsidP="00FE1E12">
      <w:r>
        <w:t>Как показали результаты исследования, большинство россиян (69%) знают или слышали о ПДС, пол, состав семьи и наличие дохода не оказывают существенного влияния на уровень осведомленности. Мужчины вступают в ПДС чуть реже, чем женщины.</w:t>
      </w:r>
    </w:p>
    <w:p w:rsidR="00FE1E12" w:rsidRDefault="00FE1E12" w:rsidP="00FE1E12">
      <w:r>
        <w:t>Но осведомленность о программе не приводит к активному использованию ее инструментов для управления замороженной пенсией. 45% респондентов отметили, что перевод накоплений в ПДС им неинтересен, 29% - что у них нет времени разбираться в этом вопросе, 22% участников заявили о неготовности планирования на длительный срок. 16% опрошенных ответили, что не доверяют цифровым системам, при помощи которых производится перевод пенсионных накоплений в программу, и еще 5% указали на то, что их не привлекает необходимость сбора документов и сам процесс перевода накоплений.</w:t>
      </w:r>
    </w:p>
    <w:p w:rsidR="00FE1E12" w:rsidRDefault="00FE1E12" w:rsidP="00FE1E12">
      <w:r>
        <w:lastRenderedPageBreak/>
        <w:t>Интерес к управлению пенсионными накоплениями чаще возникает у представителей среднего экономического класса, заметили авторы исследования. Такой подход вполне рационален, поскольку у представителей среднего класса может быть заморожена ощутимая сумма - около 1 млн руб. и более, - которой хочется распорядиться самостоятельно, поясняет заведующий кафедрой страхования и экономики социальной сферы Финансового университета Александр Цыганов.</w:t>
      </w:r>
    </w:p>
    <w:p w:rsidR="00FE1E12" w:rsidRDefault="00FE1E12" w:rsidP="00FE1E12">
      <w:r>
        <w:t>Участников исследования также спросили: "Eсли бы вам дали возможность управлять этими замороженными накоплениями самостоятельно и перевести их в статус ваших личных накоплений, вы бы согласились?" Почти половина опрошенных (48%) выразили готовность воспользоваться такой возможностью. Готовность выше у мужчин (50%) по сравнению с женщинами (47%). Но при этом 38,7% респондентов сообщили, что не знают, как это работает, не готовы разбираться или вовсе не интересуются этим вопросом.</w:t>
      </w:r>
    </w:p>
    <w:p w:rsidR="00FE1E12" w:rsidRDefault="00FE1E12" w:rsidP="00FE1E12">
      <w:r>
        <w:t>Сложности перевода</w:t>
      </w:r>
    </w:p>
    <w:p w:rsidR="00FE1E12" w:rsidRDefault="00FE1E12" w:rsidP="00FE1E12">
      <w:r>
        <w:t>На рынке ПДС хвалят. Основными преимуществами программы являются господдержка, повышенный налоговый вычет и гибкая система выплат, говорит генеральный директор НПФ "Достойное будущее" Дмитрий Ключник. Заместитель гендиректора "СберНПФ" Ольга Изюмова называет ПДС "полезной и уникальной инициативой", а гендиректор "Т-пенсии" Дмитрий Тарасов считает, что программа формирует у граждан привычку копить и управлять своим будущим.</w:t>
      </w:r>
    </w:p>
    <w:p w:rsidR="00FE1E12" w:rsidRDefault="00FE1E12" w:rsidP="00FE1E12">
      <w:r>
        <w:t>Но людям без специального образования разобраться во всех нюансах новой программы может быть крайне трудно, говорит генеральный директор НПФ "Социум" Оксана Иванова. Многие уже знают, что кроме софинансирования государство еще и возвращает налоги - "до 88 000 руб. в месяц", но далеко не все в курсе, что если вам исполнился 51 год (для женщин) или 56 лет (для мужчин), то, заключив договор ПДС сейчас, возврата налога вы не получите вовсе, приводит пример Иванова. И таких нюансов множество. Поэтому негосударственные пенсионные фонды сейчас активно проводят разъяснительную работу, говорит глава НПФ "Социум".</w:t>
      </w:r>
    </w:p>
    <w:p w:rsidR="00FE1E12" w:rsidRDefault="00FE1E12" w:rsidP="00FE1E12">
      <w:r>
        <w:t>Перевести замороженные пенсионные накопления из одного фонда в другой тоже непросто, говорит генеральный директор "Альфа НПФ" Лариса Горчаковская. До недавнего времени люди мало интересовались замороженной пенсией, поскольку управлять накоплениями все равно не было возможности, напомнила она. Теперь же их можно перевести в ПДС, но только в рамках одного фонда. А если клиент хочет формировать накопления в другом фонде, ему для этого придется потратить немало времени: либо поэтапно переводить средства по ОПС сначала из одного фонда в другой и затем направлять их в ПДС, либо внутри одного фонда перевести их из ОПС в ПДС, а потом уже уходить со всем капиталом в другой фонд, но только через пять лет, чтобы не потерять доход.</w:t>
      </w:r>
    </w:p>
    <w:p w:rsidR="00FE1E12" w:rsidRDefault="00FE1E12" w:rsidP="00FE1E12">
      <w:r>
        <w:t>Процедура перевода средств из одного фонда в другой сейчас сложная и неудобная, она требует личного присутствия и подписания бумаг, а также похода в Соцфонд России, говорил ранее "Ведомостям" зампред правления, директор розничного бизнеса Альфа-банка Иван Пятков. Клиенты также зачастую не знают, в каких фондах у них размещены пенсионные накопления, и не понимают, что с их доходностью, говорил Пятков.</w:t>
      </w:r>
    </w:p>
    <w:p w:rsidR="00FE1E12" w:rsidRDefault="00FE1E12" w:rsidP="00FE1E12">
      <w:r>
        <w:lastRenderedPageBreak/>
        <w:t>Улучшить ПДС можно, добавив возможность кастомизации программ, рассуждает Тарасов, в "Т-пенсии" хотят иметь возможность создавать индивидуальные решения под потребности разных клиентов. Например, чтобы можно было выбирать стратегию инвестиций - об этом фонд ведет диалог с регулятором, пояснил Тарасов.</w:t>
      </w:r>
    </w:p>
    <w:p w:rsidR="00FE1E12" w:rsidRDefault="00FE1E12" w:rsidP="00FE1E12">
      <w:r>
        <w:t>В "Альфа НПФ" ждут появления новой вариации ПДС - детской программы. Она позволит распространить софинансирование на все договоры внутри семьи и также увеличить размер налогового вычета по ним, указала Горчаковская. О том, что детский продукт в рамках программы долгосрочных сбережений может появиться уже в 2025 г., Минфин заявлял в мае.</w:t>
      </w:r>
    </w:p>
    <w:p w:rsidR="00FE1E12" w:rsidRDefault="00FE1E12" w:rsidP="00FE1E12">
      <w:r>
        <w:t>ПДС не единственный способ управления пенсионными накоплениями. Особое значение сегодня приобретают корпоративные пенсионные программы (КПР), говорит Изюмова. В первом полугодии 2025 г. взносы на корпоративные пенсии со "СберНПФ" выросли в 1,3 раза до 2,3 млрд руб., добавила она. КПР - отличный инструмент, но он доступен не всем россиянам, так как необходимо участие работодателя, замечает Тарасов. По его словам, есть еще две интересные инициативы для граждан: негосударственное пенсионное обеспечение (НПО), не имеющее господдержки, и индивидуальный инвестиционный счет (ИИС) третьего типа, который будет "хорош для тех, кто готов разбираться в фондовом рынке".</w:t>
      </w:r>
    </w:p>
    <w:p w:rsidR="00FE1E12" w:rsidRDefault="00FE1E12" w:rsidP="00FE1E12">
      <w:r>
        <w:t>Главная проблема в том, что люди мало знают о программах формирования долгосрочных сбережений или считают, что пенсия - "это потом", говорит Тарасов. "Программа прекрасна. Осталось только просто и понятно донести до населения все ее преимущества", - отмечает Иванова.</w:t>
      </w:r>
    </w:p>
    <w:p w:rsidR="00FE1E12" w:rsidRDefault="00FE1E12" w:rsidP="00FE1E12">
      <w:r>
        <w:t>***</w:t>
      </w:r>
    </w:p>
    <w:p w:rsidR="00FE1E12" w:rsidRDefault="00FE1E12" w:rsidP="00FE1E12">
      <w:r>
        <w:t>72 млн человек, учтенных СФР и НПФ, участвуют в системе обязательного пенсионного страхования на конец II квартала 2025 г. Размер их активов - 6,17 трлн руб., следует из данных ЦБ</w:t>
      </w:r>
    </w:p>
    <w:p w:rsidR="00FE1E12" w:rsidRDefault="00FE1E12" w:rsidP="00FE1E12">
      <w:r>
        <w:t>***</w:t>
      </w:r>
    </w:p>
    <w:p w:rsidR="00FE1E12" w:rsidRDefault="00FE1E12" w:rsidP="00FE1E12">
      <w:r>
        <w:t>Что такое замороженная пенсия</w:t>
      </w:r>
    </w:p>
    <w:p w:rsidR="00FE1E12" w:rsidRDefault="00FE1E12" w:rsidP="00FE1E12">
      <w:r>
        <w:t>Система обязательного пенсионного страхования (ОПС) состоит из страховой и накопительной пенсии. С 2002 по 2014 г. у официально работающих россиян часть взносов работодателя направлялась не только на страховую, но еще и на накопительную часть пенсии в негосударственный пенсионный фонд (НПФ) по выбору работника или в Пенсионный фонд России, если никакой фонд не был выбран. С 2014 г. отчисления прекратились, а замороженная накопительная пенсия остается в Социальном фонде России (СФР, начал работу с 1 января 2023 г., объединив Пенсионный фонд и Фонд социального страхования) и частных фондах. Имеющиеся накопления продолжают инвестироваться.</w:t>
      </w:r>
    </w:p>
    <w:p w:rsidR="00FE1E12" w:rsidRDefault="00FE1E12" w:rsidP="00FE1E12">
      <w:r>
        <w:t>С 2024 г. у россиян появилась возможность управлять средствами накопительной пенсии: перевести их из Соцфонда в частный фонд, а затем на счет ПДС. Вернуться обратно в систему ОПС после такого перевода не получится.</w:t>
      </w:r>
    </w:p>
    <w:p w:rsidR="00FE1E12" w:rsidRDefault="00FE1E12" w:rsidP="00FE1E12">
      <w:r>
        <w:t>Александра Ушакова, Мария Викулова</w:t>
      </w:r>
    </w:p>
    <w:p w:rsidR="00677FE9" w:rsidRPr="00677FE9" w:rsidRDefault="00677FE9" w:rsidP="00677FE9">
      <w:pPr>
        <w:pStyle w:val="Heading2"/>
      </w:pPr>
      <w:bookmarkStart w:id="50" w:name="_Toc205532861"/>
      <w:r>
        <w:lastRenderedPageBreak/>
        <w:t>Газета</w:t>
      </w:r>
      <w:r w:rsidRPr="00677FE9">
        <w:t>.</w:t>
      </w:r>
      <w:r>
        <w:rPr>
          <w:lang w:val="en-US"/>
        </w:rPr>
        <w:t>ru</w:t>
      </w:r>
      <w:r w:rsidRPr="00677FE9">
        <w:t xml:space="preserve">, 08.08.2025, </w:t>
      </w:r>
      <w:r w:rsidRPr="00677FE9">
        <w:t>Стало известно, что россияне не понимают, как управлять замороженной пенсией</w:t>
      </w:r>
      <w:bookmarkEnd w:id="50"/>
    </w:p>
    <w:p w:rsidR="006706A3" w:rsidRDefault="006706A3" w:rsidP="006706A3">
      <w:pPr>
        <w:pStyle w:val="Heading3"/>
      </w:pPr>
      <w:bookmarkStart w:id="51" w:name="_Toc205532862"/>
      <w:r>
        <w:t>77% граждан России не понимают, как формировать свои пенсионные накопления и не интересуются этим. Об этом сообщают «Ведомости» со ссылкой на совместное исследование негосударственного пенсионного фонда «Достойное будущее» и Финансового университета.</w:t>
      </w:r>
      <w:bookmarkEnd w:id="51"/>
    </w:p>
    <w:p w:rsidR="006706A3" w:rsidRDefault="006706A3" w:rsidP="006706A3">
      <w:r>
        <w:t>При высокой осведомленности (69% опрошенных слышали о программе долгосрочных сбережений — ПДС) интерес к переводу средств россиян невысок: 45% респондентов признались, что эта тема им неинтересна. 29% участников опроса при этом отметили, что не готовы тратить время на изучение, а 22% — не планируют свои финансы на длительный срок.</w:t>
      </w:r>
    </w:p>
    <w:p w:rsidR="006706A3" w:rsidRDefault="006706A3" w:rsidP="006706A3">
      <w:r>
        <w:t>Отмечается, что по этим причинам россияне не мотивированы совершать активные действия с накоплениями или переводить их в программу долгосрочных сбережений.</w:t>
      </w:r>
    </w:p>
    <w:p w:rsidR="006706A3" w:rsidRDefault="006706A3" w:rsidP="006706A3">
      <w:r>
        <w:t>В опросе приняли участие 2 тыс. респондентов по всей России методом онлайн-анкетирования.</w:t>
      </w:r>
    </w:p>
    <w:p w:rsidR="006706A3" w:rsidRDefault="006706A3" w:rsidP="006706A3">
      <w:r>
        <w:t>ПДС стала действовать в прошлом году. Она предусматривает ежегодный налоговый вычет на сумму до 400 тыс. руб., государственное софинансирование до 36 тыс. руб. и возможность добровольно перевести замороженные накопления из системы обязательного пенсионного страхования.</w:t>
      </w:r>
    </w:p>
    <w:p w:rsidR="00677FE9" w:rsidRDefault="006706A3" w:rsidP="006706A3">
      <w:r>
        <w:t>До этого президент Национальной ассоциации негосударственных пенсионных фондов (НАПФ) Сергей Беляков заявил, что россияне со средней зарплатой могут накопить 2,5 млн руб. к 15-летию ребенка с помощью программы долгосрочных сбережений.</w:t>
      </w:r>
    </w:p>
    <w:p w:rsidR="006706A3" w:rsidRPr="006706A3" w:rsidRDefault="006706A3" w:rsidP="006706A3">
      <w:hyperlink r:id="rId13" w:history="1">
        <w:r w:rsidRPr="0056523B">
          <w:rPr>
            <w:rStyle w:val="Hyperlink"/>
          </w:rPr>
          <w:t>https://www.gazeta.ru/business/news/2025/08/08/26450066.shtml</w:t>
        </w:r>
      </w:hyperlink>
      <w:r w:rsidRPr="006706A3">
        <w:t xml:space="preserve"> </w:t>
      </w:r>
    </w:p>
    <w:p w:rsidR="00CE5DB2" w:rsidRDefault="00CE5DB2" w:rsidP="00CE5DB2">
      <w:pPr>
        <w:pStyle w:val="Heading2"/>
      </w:pPr>
      <w:bookmarkStart w:id="52" w:name="_Toc205532863"/>
      <w:r>
        <w:t>Сельская жизнь, 07.08.2025, Россияне еще не склонны «сберегать вдолгую»</w:t>
      </w:r>
      <w:bookmarkEnd w:id="52"/>
    </w:p>
    <w:p w:rsidR="00CE5DB2" w:rsidRDefault="00CE5DB2" w:rsidP="00623EE5">
      <w:pPr>
        <w:pStyle w:val="Heading3"/>
      </w:pPr>
      <w:bookmarkStart w:id="53" w:name="_Toc205532864"/>
      <w:r>
        <w:t>В долгосрочной перспективе при стабилизации экономической ситуации "длинные" сберегательные инструменты могут стать более привлекательными для инвесторов. О том, какие инвестиционные стратегии сейчас популярны у россиян и что может простимулировать рост популярности ИИС и ПДС, рассказала на полях Финансового конгресса Банка России заместитель Председателя Правления Россельхозбанка Анна Кузнецова.</w:t>
      </w:r>
      <w:bookmarkEnd w:id="53"/>
    </w:p>
    <w:p w:rsidR="00CE5DB2" w:rsidRDefault="00CE5DB2" w:rsidP="00CE5DB2">
      <w:r>
        <w:t>"В условиях текущей конъюнктуры рынка наши клиенты предпочитают краткосрочную ликвидность долгосрочным сбережениям. В нашем портфеле вклады сроком до 1 года сейчас превалируют над депозитами на более длительный срок. Мы видим, что клиенты не склонны "сберегать вдолгую" и хотят иметь сбережения в "близкой зоне доступа" по срочности", - отметила заместитель Председателя Правления РСХБ Анна Кузнецова.</w:t>
      </w:r>
    </w:p>
    <w:p w:rsidR="00CE5DB2" w:rsidRDefault="00CE5DB2" w:rsidP="00CE5DB2">
      <w:r>
        <w:t xml:space="preserve">Тенденция подтверждается и на фондовом рынке: наблюдается рост интереса инвесторов к облигациям и фондам денежного рынка - их совокупная доля выросла до 45% от объема средств физических лиц на брокерских счетах (10,6 трлн рублей). При </w:t>
      </w:r>
      <w:r>
        <w:lastRenderedPageBreak/>
        <w:t>этом инвесторы предпочли долговые инструменты (облигации заняли в портфелях долю в 34%) акциям, доля в портфелях которых составила 30%. Эти инструменты сейчас являются "золотой серединой" для инвесторов, балансирующих между доходностью депозитов и риском на рынке акций. Такое структурное распределение в текущих экономических условиях можно назвать системным сдвигом предпочтений инвесторов в сторону защитных инструментов. При этом розничные инвесторы традиционно проявляют интерес к облигациям с коротким сроком погашения (2-3 года).</w:t>
      </w:r>
    </w:p>
    <w:p w:rsidR="00CE5DB2" w:rsidRDefault="00CE5DB2" w:rsidP="00CE5DB2">
      <w:r>
        <w:t>Интерес инвесторов к долгосрочным инвестиционным инструментам, таким как ИИС (индивидуальный инвестиционный счет) и ПДС (программа долгосрочных сбережений), сейчас не так высок. По итогам первого квартала 2025 года количество ИИС 3-го типа составило 866 тыс. счетов, или 14% от общего количества ИИС. При этом 91% из них был открыт в рамках новых договоров, а лишь 9% - посредством конвертации ИИС 1-го и 2-го типов. Можно сделать вывод, что новый инструмент не пользуется большой популярностью у владельцев ИИС двух первых типов, а новых клиентов пока в полной мере не нашел.</w:t>
      </w:r>
    </w:p>
    <w:p w:rsidR="00CE5DB2" w:rsidRDefault="00CE5DB2" w:rsidP="00CE5DB2">
      <w:r>
        <w:t>Программа долгосрочных сбережений, в свою очередь, начинает привлекать внимание инвесторов, однако ее потенциал еще не исчерпан. "В прошлом году в качестве пилота мы начали продавать продукт ПДС в одном из региональных филиалов банка. Результат показал заинтересованность клиентов и дал нам возможность сформировать потрет покупателя: люди в возрасте от 50 лет, преимущественно женщины, средний чек составил 32 тыс. рублей. Сейчас мы обсуждаем целесообразность масштабирования данного продукта на региональную сеть банка", - отметила Анна Кузнецова.</w:t>
      </w:r>
    </w:p>
    <w:p w:rsidR="00CE5DB2" w:rsidRDefault="00CE5DB2" w:rsidP="00CE5DB2">
      <w:r>
        <w:t>При этом повышению привлекательности таких инструментов и, соответственно, росту сегмента длинных инвестиций будут способствовать следующие факторы:</w:t>
      </w:r>
    </w:p>
    <w:p w:rsidR="00CE5DB2" w:rsidRDefault="00CE5DB2" w:rsidP="00CE5DB2">
      <w:r>
        <w:t>снижение ключевой ставки и стабилизация инфляции на уровне 4-6%;</w:t>
      </w:r>
    </w:p>
    <w:p w:rsidR="00CE5DB2" w:rsidRDefault="00CE5DB2" w:rsidP="00CE5DB2">
      <w:r>
        <w:t>"нормализация" кривой доходностей - длинные деньги должны быть дороже коротких и снижение процентной нагрузки у компаний с соотношением чистый долг/EBITDA на уровне 2.0-3.0х;</w:t>
      </w:r>
    </w:p>
    <w:p w:rsidR="00CE5DB2" w:rsidRDefault="00CE5DB2" w:rsidP="00CE5DB2">
      <w:r>
        <w:t>введение дополнительных налоговых льгот для розничных инвесторов на долгосрочное удержание, например, при сроке от 1 года (сейчас действуют льготы при удержании от 3 лет);</w:t>
      </w:r>
    </w:p>
    <w:p w:rsidR="00CE5DB2" w:rsidRPr="00CE5DB2" w:rsidRDefault="00CE5DB2" w:rsidP="00CE5DB2">
      <w:r>
        <w:t xml:space="preserve">льготные коэффициенты нагрузки на капитал банков по длинным облигациям, удерживаемым до погашения. </w:t>
      </w:r>
    </w:p>
    <w:p w:rsidR="00250639" w:rsidRPr="00F64CF5" w:rsidRDefault="00250639" w:rsidP="00250639">
      <w:pPr>
        <w:pStyle w:val="Heading2"/>
      </w:pPr>
      <w:bookmarkStart w:id="54" w:name="a4"/>
      <w:bookmarkStart w:id="55" w:name="_Toc205532865"/>
      <w:bookmarkEnd w:id="54"/>
      <w:r w:rsidRPr="00F64CF5">
        <w:lastRenderedPageBreak/>
        <w:t>Finam.ru, 07.08.2025, Копим на пенсию на фондовом рынке – как собрать портфель</w:t>
      </w:r>
      <w:bookmarkEnd w:id="55"/>
      <w:r w:rsidRPr="00F64CF5">
        <w:t xml:space="preserve"> </w:t>
      </w:r>
    </w:p>
    <w:p w:rsidR="00250639" w:rsidRPr="00F64CF5" w:rsidRDefault="00250639" w:rsidP="00623EE5">
      <w:pPr>
        <w:pStyle w:val="Heading3"/>
      </w:pPr>
      <w:bookmarkStart w:id="56" w:name="_Toc205532866"/>
      <w:r w:rsidRPr="00F64CF5">
        <w:t>К выходу на пенсию в России стоит готовиться заранее – выплат от государства может хватить лишь на базовые потребности. Какие есть способы накопить на пенсию на фондовом рынке? Стоит ли участвовать в программе долгосрочных сбережений (ПДС), запущенной в 2024 году? Какие еще доступны инструменты? Как сформировать портфель, если вы хотите накопить на пенсию с помощью инвестиций самостоятельно, какие риски необходимо учитывать? Finam.ru узнал мнения экспертов. Кроме того, мы собрали несколько вопросов о том, насколько инвесторы финансово подготовлены к будущему. Ответы полностью анонимны — мы просто хотим узнать ваше мнение.</w:t>
      </w:r>
      <w:bookmarkEnd w:id="56"/>
    </w:p>
    <w:p w:rsidR="00250639" w:rsidRPr="00F64CF5" w:rsidRDefault="00250639" w:rsidP="00250639">
      <w:r w:rsidRPr="00F64CF5">
        <w:t>Когда начинать</w:t>
      </w:r>
    </w:p>
    <w:p w:rsidR="00250639" w:rsidRPr="00F64CF5" w:rsidRDefault="00250639" w:rsidP="00250639">
      <w:r w:rsidRPr="00F64CF5">
        <w:t>По мнению аналитиков, один из главных принципов, которых стоит придерживаться, - начать копить на пенсию как можно раньше.</w:t>
      </w:r>
    </w:p>
    <w:p w:rsidR="00250639" w:rsidRPr="00F64CF5" w:rsidRDefault="00250639" w:rsidP="00250639">
      <w:r w:rsidRPr="00F64CF5">
        <w:t>«Пенсионные накопления — одна из важных финансовых задач. Государственная пенсия часто оказывается недостаточной для комфортной жизни. Так, средняя пенсия по итогам 2024 года в России составила 20 тысяч рублей. Чем раньше вы начнете инвестировать, тем больше сможете накопить. Оптимальный размер пенсионного капитала зависит от вашего образа жизни и привычек. Перед началом планирования важно определить желаемую ежемесячную сумму, сколько лет вам осталось до пенсии и оценить, какую сумму в месяц вы готовы инвестировать», - отметил в комментарии для Finam.ru Александр Присяжнюк, директор инвестиционного департамента «РСХБ Управление Активами».</w:t>
      </w:r>
    </w:p>
    <w:p w:rsidR="00250639" w:rsidRPr="00F64CF5" w:rsidRDefault="00250639" w:rsidP="00250639">
      <w:r w:rsidRPr="00F64CF5">
        <w:t>Аналитик проекта bitkogan Юрий Лывов говорит, что главный и универсальный рецепт — это тратить меньше, чем зарабатываешь, и начинать инвестировать как можно раньше. «Пусть это будут крошечные суммы, с чего-то надо начинать. Катастрофическое заблуждение новичков — думать, что для инвестиций нужны крупные суммы. Это совсем не так», - считает он.</w:t>
      </w:r>
    </w:p>
    <w:p w:rsidR="00250639" w:rsidRPr="00F64CF5" w:rsidRDefault="00250639" w:rsidP="00250639">
      <w:r w:rsidRPr="00F64CF5">
        <w:t>Какую сумму откладывать</w:t>
      </w:r>
    </w:p>
    <w:p w:rsidR="00250639" w:rsidRPr="00F64CF5" w:rsidRDefault="00250639" w:rsidP="00250639">
      <w:r w:rsidRPr="00F64CF5">
        <w:t>Если человек решил копить на старость самостоятельно, стоит начать с расчета необходимой суммы: сколько денег потребуется на пенсии, чтобы поддерживать комфортный уровень жизни, и сколько нужно откладывать уже сейчас, отмечает шеф-редактор InvestFuture Дина Гильмиярова.</w:t>
      </w:r>
    </w:p>
    <w:p w:rsidR="00250639" w:rsidRPr="00F64CF5" w:rsidRDefault="00250639" w:rsidP="00250639">
      <w:r w:rsidRPr="00F64CF5">
        <w:t>Для расчета, по ее словам, можно использовать готовые калькуляторы и таблицы. «Например, если до пенсии осталось 30 лет, вы планируете жить на пенсии как минимум четверть века и хотите прибавку к пенсии в размере 50 тысяч рублей в месяц (в текущих ценах), то в первый год нужно откладывать примерно 22 тысячи рублей в месяц. Это при условии, что доходность инвестиций составит не менее 4% годовых с учетом инфляции. С каждым годом сумму взносов нужно увеличивать пропорционально инфляции», - рассуждает она.</w:t>
      </w:r>
    </w:p>
    <w:p w:rsidR="00250639" w:rsidRPr="00F64CF5" w:rsidRDefault="00250639" w:rsidP="00250639">
      <w:r w:rsidRPr="00F64CF5">
        <w:t xml:space="preserve">Сумма кажется большой — именно поэтому важно начинать как можно раньше, добавляет Гильмиярова. Если задуматься о пенсии за 40 лет до нее, то при тех же </w:t>
      </w:r>
      <w:r w:rsidRPr="00F64CF5">
        <w:lastRenderedPageBreak/>
        <w:t>параметрах придется откладывать меньше — по 13 тыс. «Но даже если вы можете позволить себе сберегать только 3–5 тысяч рублей в месяц, это уже поможет сформировать полезную финансовую привычку. А с ростом доходов можно постепенно увеличивать взносы», - добавила эксперт.</w:t>
      </w:r>
    </w:p>
    <w:p w:rsidR="00250639" w:rsidRPr="00F64CF5" w:rsidRDefault="00250639" w:rsidP="00250639">
      <w:r w:rsidRPr="00F64CF5">
        <w:t>Присяжнюк приводит как возможный вариант «Правило 4%» – ежегодно можно снимать 4% от накопленной суммы без риска быстро её исчерпать. «Пример расчёта: если хотите получать 40 000 рублей в месяц (480 000 рублей в год), то нужен капитал в 12 млн рублей (480 000 / 0,04). Чем раньше вы начнете, тем меньшие суммы придется откладывать ежемесячно», - отметил он.</w:t>
      </w:r>
    </w:p>
    <w:p w:rsidR="00250639" w:rsidRPr="00F64CF5" w:rsidRDefault="00250639" w:rsidP="00250639">
      <w:r w:rsidRPr="00F64CF5">
        <w:t>ПДС – плюсы и минусы</w:t>
      </w:r>
    </w:p>
    <w:p w:rsidR="00250639" w:rsidRPr="00F64CF5" w:rsidRDefault="00250639" w:rsidP="00250639">
      <w:r w:rsidRPr="00F64CF5">
        <w:t>Программа долгосрочных сбережений, запущенная при поддержке государства, - один из самых обсуждаемых инструментов для накоплений на пенсию, отмечает директор по стратегии «Финама» Ярослав Кабаков.</w:t>
      </w:r>
    </w:p>
    <w:p w:rsidR="00250639" w:rsidRPr="00F64CF5" w:rsidRDefault="00250639" w:rsidP="00250639">
      <w:r w:rsidRPr="00F64CF5">
        <w:t>Он напоминает условия программы. Участником ПДС может стать любой гражданин РФ старше 18 лет, заключив договор с негосударственным пенсионным фондом. В рамках программы можно делать регулярные взносы от 2 тысяч рублей в год, а государство при соблюдении условий софинансирует накопления — до 36 тысяч рублей в год на протяжении 10 лет, особенно активно поддерживая граждан с доходом ниже медианного. Кроме того, участникам предоставляются налоговые вычеты — до 52 тысяч рублей в год при взносах до 400 тысяч, а также освобождение от НДФЛ дохода при окончании программы. Все средства застрахованы на сумму до 2,8 млн рублей.</w:t>
      </w:r>
    </w:p>
    <w:p w:rsidR="00250639" w:rsidRPr="00F64CF5" w:rsidRDefault="00250639" w:rsidP="00250639">
      <w:r w:rsidRPr="00F64CF5">
        <w:t>«Доходность ПДС в среднем составляет 8-10% годовых, что сопоставимо с результатами НПФ и банковских вкладов. Однако программа имеет и недостатки — средства блокируются на долгий срок (обычно 15 лет или до достижения пенсионного возраста), досрочно их можно изъять только в исключительных случаях. При этом участник не управляет вложениями самостоятельно, что не устраивает более активных инвесторов. Программа подходит тем, кто хочет копить с господдержкой и не готов заниматься инвестициями вручную», - прокомментировал Кабаков.</w:t>
      </w:r>
    </w:p>
    <w:p w:rsidR="00250639" w:rsidRPr="00F64CF5" w:rsidRDefault="00250639" w:rsidP="00250639">
      <w:r w:rsidRPr="00F64CF5">
        <w:t>Владимир Левченко, финансовый аналитик, эксперт Института экономики роста им. Столыпина, считает, что в ПДС участвовать нужно. «Мы фактически получаем процент от своих вложений плюс деньги от государства и налоговые льготы», - подчеркнул он.</w:t>
      </w:r>
    </w:p>
    <w:p w:rsidR="00250639" w:rsidRPr="00F64CF5" w:rsidRDefault="00250639" w:rsidP="00250639">
      <w:r w:rsidRPr="00F64CF5">
        <w:t>Основные плюсы программы - в том, что все сделают за вас и государство может добавить к вашим взносам дополнительно до 36 тыс. руб. каждый год, подчеркивает Лывов. Главный минус — вы доверяете свои инвестиции и накопления НПФ, которые придерживаются достаточно консервативных инвестиционных стратегий из-за регуляторных требований.</w:t>
      </w:r>
    </w:p>
    <w:p w:rsidR="00250639" w:rsidRPr="00F64CF5" w:rsidRDefault="00250639" w:rsidP="00250639">
      <w:r w:rsidRPr="00F64CF5">
        <w:t>«По статистике лишь 9-10% инвестиций таких фондов находится в акциях, что не позволяет отбивать инфляционные риски в долгосроке (облигации — это не инфляционный инструмент). В результате порядка 60% накоплений находится в ОФЗ (облигациях федерального займа). Такой стиль инвестиций может показывать положительную доходность, но не позволяет в полной мере бороться с одним из главных врагов инвестора — с инфляцией», - считает Лывов.</w:t>
      </w:r>
    </w:p>
    <w:p w:rsidR="00250639" w:rsidRPr="00F64CF5" w:rsidRDefault="00250639" w:rsidP="00250639">
      <w:r w:rsidRPr="00F64CF5">
        <w:lastRenderedPageBreak/>
        <w:t>Гильмиярова полагает, что основной минус ПДС — ограниченная ликвидность. «Вы не сможете воспользоваться деньгами минимум 15 лет либо до выхода на пенсию. Программа содержит множество нюансов, в которых важно разобраться до вступления. На мой взгляд, если ИИС-3 подходит широкому кругу инвесторов, то ПДС — скорее инструмент социальной поддержки и подходит не всем. Он может быть особенно выгоден людям с доходом ниже 80 тысяч рублей в месяц или тем, кому до пенсии осталось менее 10 лет», - отметила эксперт в комментарии для Finam.ru.</w:t>
      </w:r>
    </w:p>
    <w:p w:rsidR="00250639" w:rsidRPr="00F64CF5" w:rsidRDefault="00250639" w:rsidP="00250639">
      <w:r w:rsidRPr="00F64CF5">
        <w:t>Другие инструменты</w:t>
      </w:r>
    </w:p>
    <w:p w:rsidR="00250639" w:rsidRPr="00F64CF5" w:rsidRDefault="00250639" w:rsidP="00250639">
      <w:r w:rsidRPr="00F64CF5">
        <w:t>Кроме ПДС существуют и другие инструменты, отмечает Кабаков. Это классические НПФ по договорам негосударственного пенсионного обеспечения, где участник получает налоговые льготы, но не может рассчитывать на софинансирование. Есть накопительное страхование жизни (НСЖ), которое совмещает накопления и страховую защиту, но предполагает меньшую гибкость и невысокую доходность.</w:t>
      </w:r>
    </w:p>
    <w:p w:rsidR="00250639" w:rsidRPr="00F64CF5" w:rsidRDefault="00250639" w:rsidP="00250639">
      <w:r w:rsidRPr="00F64CF5">
        <w:t>Один из альтернативных способов обеспечить себе достойную старость — в активный период жизни приобрести как можно больше недвижимости, чтобы продать ее в будущем или получать доход от аренды, говорит Гильмиярова. «Однако и такой доход нельзя считать полностью пассивным и лишенным рисков. Легких путей, к сожалению, не бывает», - добавила она.</w:t>
      </w:r>
    </w:p>
    <w:p w:rsidR="00250639" w:rsidRPr="00F64CF5" w:rsidRDefault="00250639" w:rsidP="00250639">
      <w:r w:rsidRPr="00F64CF5">
        <w:t>Как действовать самостоятельно</w:t>
      </w:r>
    </w:p>
    <w:p w:rsidR="00250639" w:rsidRPr="00F64CF5" w:rsidRDefault="00250639" w:rsidP="00250639">
      <w:r w:rsidRPr="00F64CF5">
        <w:t>Как подчеркивает Ярослав Кабаков, широкие возможности для накоплений открывает индивидуальный инвестиционный счет (ИИС), который позволяет самостоятельно выбирать активы — от облигаций до акций и фондов — с правом на налоговые льготы. «ИИС подходит более опытным инвесторам, готовым формировать портфель и нести ответственность за результат. Для тех, кто хочет самостоятельно инвестировать в пенсионный капитал, стоит начать с открытия ИИС или обычного брокерского счёта. Инвестиционный горизонт должен быть долгим — от 10 до 30 лет», - говорит эксперт.</w:t>
      </w:r>
    </w:p>
    <w:p w:rsidR="00250639" w:rsidRPr="00F64CF5" w:rsidRDefault="00250639" w:rsidP="00250639">
      <w:r w:rsidRPr="00F64CF5">
        <w:t>Юрий Лывов считает, что самостоятельно через фондовый рынок – это самый действенный способ накопления на пенсию. Он также обращает внимание на счета ИИС, с помощью которых можно оптимизировать налоговую нагрузку для своего портфеля. При этом эксперт добавляет, что «необходимо сохранять железную дисциплину и действовать согласно вашему плану».</w:t>
      </w:r>
    </w:p>
    <w:p w:rsidR="00250639" w:rsidRPr="00F64CF5" w:rsidRDefault="00250639" w:rsidP="00250639">
      <w:r w:rsidRPr="00F64CF5">
        <w:t>Лывов приводит ряд правил, которых, по его мнению, стоит придерживаться:</w:t>
      </w:r>
    </w:p>
    <w:p w:rsidR="00250639" w:rsidRPr="00F64CF5" w:rsidRDefault="00250639" w:rsidP="00250639">
      <w:r w:rsidRPr="00F64CF5">
        <w:t>- Обязательно начинайте с малого. Инвестиции даже с небольших сумм превращаются со временем в снежный денежный ком. Таким образом вы не только дисциплинируете себя, но и приучаете к динамике рынка — к взлетам и падениям, к прибылям и убыткам.</w:t>
      </w:r>
    </w:p>
    <w:p w:rsidR="00250639" w:rsidRPr="00F64CF5" w:rsidRDefault="00250639" w:rsidP="00250639">
      <w:r w:rsidRPr="00F64CF5">
        <w:t xml:space="preserve">- Пропишите план: когда вы планируете выходить на пенсию, насколько лет вам должно хватить капитала, какая сумма в месяц/год вам необходима для жизнь. В этом сценарии обязательно надо учесть прогнозную инфляцию. Главное — определите для себя степень риска. Это поможет сгладить негативные эмоции от инвестиций.  </w:t>
      </w:r>
    </w:p>
    <w:p w:rsidR="00250639" w:rsidRPr="00F64CF5" w:rsidRDefault="00250639" w:rsidP="00250639">
      <w:r w:rsidRPr="00F64CF5">
        <w:t xml:space="preserve">- Сохраняйте диверсификацию портфеля: это касается разных валют, типов активов и стран. Нет ни одного случая на рынке, когда доля отдельного актива или акции могла бы превышать 15-20% от вашего общего депозита. </w:t>
      </w:r>
    </w:p>
    <w:p w:rsidR="00250639" w:rsidRPr="00F64CF5" w:rsidRDefault="00250639" w:rsidP="00250639">
      <w:r w:rsidRPr="00F64CF5">
        <w:lastRenderedPageBreak/>
        <w:t xml:space="preserve">- Избегайте ловушек «домашнего рынка». Несмотря на то, что по общему правилу копить надо в той валюте, в которой вы планируете тратить, не стоит списывать зарубежные инвестиции. Примерно 1/3 можно выделить на инвестиции в другие валюты и активы разных стран. </w:t>
      </w:r>
    </w:p>
    <w:p w:rsidR="00250639" w:rsidRPr="00F64CF5" w:rsidRDefault="00250639" w:rsidP="00250639">
      <w:r w:rsidRPr="00F64CF5">
        <w:t xml:space="preserve">- Ведите бюджет. Обязательно делать это не «в уме», а письменно: приложение, Excel, тетрадь и т.д. </w:t>
      </w:r>
    </w:p>
    <w:p w:rsidR="00250639" w:rsidRPr="00F64CF5" w:rsidRDefault="00250639" w:rsidP="00250639">
      <w:r w:rsidRPr="00F64CF5">
        <w:t xml:space="preserve">- Чем дольше срок вашего инвестиционного горизонта, тем большую часть в вашем портфеле должны занимать акции. В долгосрочном периоде бизнес, недвижимость и другие реальные товары могут отбивать рост инфляции. </w:t>
      </w:r>
    </w:p>
    <w:p w:rsidR="00250639" w:rsidRPr="00F64CF5" w:rsidRDefault="00250639" w:rsidP="00250639">
      <w:r w:rsidRPr="00F64CF5">
        <w:t>- Ни в коем случае и не при каких обстоятельствах не используйте заемные средства или плечо у брокера. Даже самые глубокие кризисные падения не сравнятся с негативными последствиями от убытков, связанных с заемными средствами — вы рискуете лишиться всех своих накоплений в одночасье.</w:t>
      </w:r>
    </w:p>
    <w:p w:rsidR="00250639" w:rsidRPr="00F64CF5" w:rsidRDefault="00250639" w:rsidP="00250639">
      <w:r w:rsidRPr="00F64CF5">
        <w:t>Как сформировать портфель</w:t>
      </w:r>
    </w:p>
    <w:p w:rsidR="00250639" w:rsidRPr="00F64CF5" w:rsidRDefault="00250639" w:rsidP="00250639">
      <w:r w:rsidRPr="00F64CF5">
        <w:t>Самый очевидный способ сформировать пенсионный портфель на фондовом рынке — открыть ИИС как можно раньше и регулярно пополнять его, говорит Дина Гильмиярова. Такой подход позволяет существенно сэкономить на налогах.</w:t>
      </w:r>
    </w:p>
    <w:p w:rsidR="00250639" w:rsidRPr="00F64CF5" w:rsidRDefault="00250639" w:rsidP="00250639">
      <w:r w:rsidRPr="00F64CF5">
        <w:t>«Какие инструменты включать в портфель, зависит от уровня риска, на который готов идти инвестор, и от его финансовых навыков. Новичкам можно начать с длинных ОФЗ, надежных корпоративных облигаций, БПИФов и акций голубых фишек. Главное — не забывать о диверсификации как по отраслям, классам активов, так и по отдельным бумагам», - отметила она.</w:t>
      </w:r>
    </w:p>
    <w:p w:rsidR="00250639" w:rsidRPr="00F64CF5" w:rsidRDefault="00250639" w:rsidP="00250639">
      <w:r w:rsidRPr="00F64CF5">
        <w:t>При этом делать ставку только на дивидендные компании не стоит. Средняя доходность российских акций по дивидендам за последние 10 лет — около 9%. Но раньше доходность была меньше — с 2005 года средняя около 4%, так что на долгом горизонте лучше рассчитывать на скромные цифры. «К тому же, дивиденды не гарантированы. Сегодня платят, завтра — уже нет. И если акция упадет в цене, можно больше потерять, чем получить», - добавила Гильмиярова.</w:t>
      </w:r>
    </w:p>
    <w:p w:rsidR="00250639" w:rsidRPr="00F64CF5" w:rsidRDefault="00250639" w:rsidP="00250639">
      <w:r w:rsidRPr="00F64CF5">
        <w:t>По словам Владимира Левченко, многое зависит от того, кто и с какого возраста начинает копить себе на пенсию. «Самый простой, понятный и надежный способ - это ежемесячно откладывать небольшую сумму и покупать на нее надежные облигации. Далее необходимо постоянно реинвестировать полученные купоны. Сложные % - восьмое чудо света», - считает он.</w:t>
      </w:r>
    </w:p>
    <w:p w:rsidR="00250639" w:rsidRPr="00F64CF5" w:rsidRDefault="00250639" w:rsidP="00250639">
      <w:r w:rsidRPr="00F64CF5">
        <w:t xml:space="preserve">По мнению Левченко, если инвестор хорошо разбирается в фондовом рынке и инвестициях в целом, то подход к пенсионным накоплениям не будет заметно отличаться к управлению всем капиталом. Он будет немного консервативнее. </w:t>
      </w:r>
    </w:p>
    <w:p w:rsidR="00250639" w:rsidRPr="00F64CF5" w:rsidRDefault="00250639" w:rsidP="00250639">
      <w:r w:rsidRPr="00F64CF5">
        <w:t>Портфель следует формировать с учетом возраста и склонности к риску, говорит Ярослав Кабаков. «Обычно рекомендуется сочетать облигации (государственные и корпоративные), акции крупных компаний и диверсифицированные биржевые фонды. Молодым инвесторам можно сделать больший акцент на акции и фонды, а ближе к пенсии — сместить акцент в сторону облигаций и инструментов с фиксированной доходностью», - прокомментировал он.</w:t>
      </w:r>
    </w:p>
    <w:p w:rsidR="00250639" w:rsidRPr="00F64CF5" w:rsidRDefault="00250639" w:rsidP="00250639">
      <w:r w:rsidRPr="00F64CF5">
        <w:lastRenderedPageBreak/>
        <w:t>Важно учитывать рыночный риск, колебания доходности, инфляцию, возможность дефолта эмитентов, а также налоги и комиссии, предупреждает Кабаков. «Учитывая российские реалии, разумно комбинировать подходы — часть сбережений направлять в ПДС или НПФ для стабильности и господдержки, а часть — в самостоятельные инвестиции через ИИС, чтобы повысить потенциальную доходность. Такой подход обеспечит и налоговые льготы, и диверсификацию рисков, и более гибкий контроль за будущим пенсионным капиталом», - полагает эксперт.</w:t>
      </w:r>
    </w:p>
    <w:p w:rsidR="00250639" w:rsidRPr="00F64CF5" w:rsidRDefault="00250639" w:rsidP="00250639">
      <w:r w:rsidRPr="00F64CF5">
        <w:t>Александр Присяжнюк также подчеркивает, что при выборе инвестиционного продукта важно опираться на соотношение риска и доходности. По его мнению, при инвестициях на пенсию важно использовать надежные и стабильные инструменты, которые помогут прийти к желаемому результату без значительных потерь.</w:t>
      </w:r>
    </w:p>
    <w:p w:rsidR="00250639" w:rsidRPr="00F64CF5" w:rsidRDefault="00250639" w:rsidP="00250639">
      <w:r w:rsidRPr="00F64CF5">
        <w:t>Он напоминает про традиционный консервативный инструмент - банковские вклады. «Можно положить деньги как на краткосрочный, так и долгосрочный вклад с возможностью капитализации, чтобы проценты по нему использовать для приумножения накоплений. По оценкам аналитиков, денежно-кредитная политика в 2025 будет смягчаться, что будет вести регулятора к планомерному снижению ключевой ставки. Тогда вклады будут терять свою долгосрочную инвестиционную привлекательность. При таком сценарии можно присмотреться к альтернативным инструментам рынка», - рассуждает Присяжнюк.</w:t>
      </w:r>
    </w:p>
    <w:p w:rsidR="00250639" w:rsidRPr="00F64CF5" w:rsidRDefault="00250639" w:rsidP="00250639">
      <w:r w:rsidRPr="00F64CF5">
        <w:t>Одним из консервативных рыночных инструментов также остаются облигации. По словам эксперта, при выборе облигаций необходимо обращать внимание на ставку купона, цену, премию по доходности к ОФЗ, срок до оферты и погашения, ликвидность бумаги, надежность эмитента.</w:t>
      </w:r>
    </w:p>
    <w:p w:rsidR="00250639" w:rsidRPr="00F64CF5" w:rsidRDefault="00250639" w:rsidP="00250639">
      <w:r w:rsidRPr="00F64CF5">
        <w:t>«Но если вы не хотите долго разбираться в тонкостях облигаций, то можно выбрать готовые решения в виде ПИФов. В последние годы паевые инвестиционные фонды стали одним из способов формирования пенсионных сбережений. Эти инструменты коллективных инвестиций позволяют частным вкладчикам получать доход от вложений в ценные бумаги, не требуя глубоких знаний фондового рынка. Есть как высокорисковые фонды, так и низкорисковые, например, с наполнением облигаций или надежных акций. Но главное преимущество такого инструмента - команды профессиональных управляющих, которые анализируют рынок, диверсифицируют риски и выбирают оптимальные активы, подходящие консервативным сценариям.  Если нет возможности сразу вложить большую сумму, можно постепенно покупать паи в инвестиционных фондах через управляющую компанию», - добавил Присяжнюк.</w:t>
      </w:r>
    </w:p>
    <w:p w:rsidR="00250639" w:rsidRPr="00F64CF5" w:rsidRDefault="00250639" w:rsidP="00250639">
      <w:r w:rsidRPr="00F64CF5">
        <w:t>После выбора подходящих инструментов можно составить индивидуальный пенсионный план и диверсифицировать вложения, чтобы снизить риски, добавил эксперт. «Например, если хотите каждый месяц откладывать по 20 000 рублей, можно разделить эти деньги: половину положить на банковский вклад или накопительный счет, а вторую половину внести на брокерский счет для покупки облигаций или паев уже готовых фондов», - считает он.</w:t>
      </w:r>
    </w:p>
    <w:p w:rsidR="00250639" w:rsidRPr="00F64CF5" w:rsidRDefault="00250639" w:rsidP="00250639">
      <w:r w:rsidRPr="00F64CF5">
        <w:t>По мнению Присяжнюка, «накопление на пенсию через инвестиции – это долгий, но надежный путь к финансовой свободе». Чтобы максимизировать доходность, важно использовать диверсификацию, долгосрочные стратегии и налоговые льготы, заключил эксперт.</w:t>
      </w:r>
    </w:p>
    <w:p w:rsidR="00111D7C" w:rsidRPr="00F64CF5" w:rsidRDefault="00000000" w:rsidP="00250639">
      <w:hyperlink r:id="rId14" w:history="1">
        <w:r w:rsidR="00250639" w:rsidRPr="00F64CF5">
          <w:rPr>
            <w:rStyle w:val="Hyperlink"/>
          </w:rPr>
          <w:t>https://www.finam.ru/publications/item/kopim-na-pensiyu-na-fondovom-rynke-kak-sobrat-portfel-20250807-1300/</w:t>
        </w:r>
      </w:hyperlink>
    </w:p>
    <w:p w:rsidR="00250639" w:rsidRPr="00F64CF5" w:rsidRDefault="00250639" w:rsidP="00250639">
      <w:pPr>
        <w:pStyle w:val="Heading2"/>
      </w:pPr>
      <w:bookmarkStart w:id="57" w:name="_Toc205532867"/>
      <w:r w:rsidRPr="00F64CF5">
        <w:t>КонсультантПлюс.Новости, 07.08.2025, ФНС предлагает ввести новые коды вычетов и доходов по НДФЛ с 2026 года</w:t>
      </w:r>
      <w:bookmarkEnd w:id="57"/>
    </w:p>
    <w:p w:rsidR="00250639" w:rsidRPr="00F64CF5" w:rsidRDefault="00250639" w:rsidP="00623EE5">
      <w:pPr>
        <w:pStyle w:val="Heading3"/>
      </w:pPr>
      <w:bookmarkStart w:id="58" w:name="_Toc205532868"/>
      <w:r w:rsidRPr="00F64CF5">
        <w:t>Налоговая служба планирует ввести такие коды вычетов:</w:t>
      </w:r>
      <w:bookmarkEnd w:id="58"/>
    </w:p>
    <w:p w:rsidR="00250639" w:rsidRPr="00F64CF5" w:rsidRDefault="00250639" w:rsidP="00250639">
      <w:r w:rsidRPr="00F64CF5">
        <w:t xml:space="preserve">    333 – суммы, которые физлицо уплатило, в частности, за свое обучение за рубежом (п. 2.3 приложения к проекту приказа);</w:t>
      </w:r>
    </w:p>
    <w:p w:rsidR="00250639" w:rsidRPr="00F64CF5" w:rsidRDefault="00250639" w:rsidP="00250639">
      <w:r w:rsidRPr="00F64CF5">
        <w:t xml:space="preserve">    334 – суммы, которые, в частности, уплатил родитель за обучение своих детей в возрасте до 24 лет за рубежом;</w:t>
      </w:r>
    </w:p>
    <w:p w:rsidR="00250639" w:rsidRPr="00F64CF5" w:rsidRDefault="00250639" w:rsidP="00250639">
      <w:r w:rsidRPr="00F64CF5">
        <w:t xml:space="preserve">    518 – вычет, в частности, из сумм выплат по договорам долгосрочных сбережений, которые заключены с российскими НПФ (п. 2.4 приложения к проекту приказа).</w:t>
      </w:r>
    </w:p>
    <w:p w:rsidR="00250639" w:rsidRPr="00F64CF5" w:rsidRDefault="00250639" w:rsidP="00250639">
      <w:r w:rsidRPr="00F64CF5">
        <w:t>Предложены коды доходов:</w:t>
      </w:r>
    </w:p>
    <w:p w:rsidR="00250639" w:rsidRPr="00F64CF5" w:rsidRDefault="00250639" w:rsidP="00250639">
      <w:r w:rsidRPr="00F64CF5">
        <w:t xml:space="preserve">    2007 – единовременное денежное поощрение за особые заслуги в зоне СВО, которое выплатили при награждении госнаградами (п. 1.2 приложения к проекту приказа);</w:t>
      </w:r>
    </w:p>
    <w:p w:rsidR="00250639" w:rsidRPr="00F64CF5" w:rsidRDefault="00250639" w:rsidP="00250639">
      <w:r w:rsidRPr="00F64CF5">
        <w:t xml:space="preserve">    1221 – пенсионные взносы, по которым предоставили социальный налоговый вычет, учитываемый в случае расторжения договора негосударственного пенсионного обеспечения (п. 1.3 приложения к проекту приказа);</w:t>
      </w:r>
    </w:p>
    <w:p w:rsidR="00250639" w:rsidRPr="00F64CF5" w:rsidRDefault="00250639" w:rsidP="00250639">
      <w:r w:rsidRPr="00F64CF5">
        <w:t xml:space="preserve">    1222 – сберегательные взносы, по которым предоставили социальный налоговый вычет, учитываемый в случае расторжения договора долгосрочных сбережений;</w:t>
      </w:r>
    </w:p>
    <w:p w:rsidR="00250639" w:rsidRPr="00F64CF5" w:rsidRDefault="00250639" w:rsidP="00250639">
      <w:r w:rsidRPr="00F64CF5">
        <w:t xml:space="preserve">    1243 – в частности, выплаты по договорам долгосрочных сбережений, которые физлица заключили с российскими НПФ (п. 1.5 приложения к проекту приказа).</w:t>
      </w:r>
    </w:p>
    <w:p w:rsidR="00250639" w:rsidRPr="00F64CF5" w:rsidRDefault="00250639" w:rsidP="00250639">
      <w:r w:rsidRPr="00F64CF5">
        <w:t>Коды 1215 (выплаты при досрочном расторжении договоров негосударственного пенсионного обеспечения) и 3020 (проценты по вкладам в банках) планируют исключить (п. 1.1 приложения к проекту приказа).</w:t>
      </w:r>
    </w:p>
    <w:p w:rsidR="00250639" w:rsidRPr="00F64CF5" w:rsidRDefault="00250639" w:rsidP="00250639">
      <w:r w:rsidRPr="00F64CF5">
        <w:t>Предполагается, что изменения вступят в силу 1 января 2026 года (п. 2 проекта приказа).</w:t>
      </w:r>
    </w:p>
    <w:p w:rsidR="00250639" w:rsidRPr="00F64CF5" w:rsidRDefault="00250639" w:rsidP="00250639">
      <w:r w:rsidRPr="00F64CF5">
        <w:t>Сейчас документ на общественном обсуждении.</w:t>
      </w:r>
    </w:p>
    <w:p w:rsidR="00250639" w:rsidRPr="00F64CF5" w:rsidRDefault="00250639" w:rsidP="00250639">
      <w:r w:rsidRPr="00F64CF5">
        <w:t>В проекте есть и иные изменения.</w:t>
      </w:r>
    </w:p>
    <w:p w:rsidR="00250639" w:rsidRDefault="00000000" w:rsidP="00250639">
      <w:hyperlink r:id="rId15" w:history="1">
        <w:r w:rsidR="00250639" w:rsidRPr="00F64CF5">
          <w:rPr>
            <w:rStyle w:val="Hyperlink"/>
          </w:rPr>
          <w:t>https://www.consultant.ru/legalnews/29193/</w:t>
        </w:r>
      </w:hyperlink>
    </w:p>
    <w:p w:rsidR="0094671A" w:rsidRDefault="0094671A" w:rsidP="0094671A">
      <w:pPr>
        <w:pStyle w:val="Heading2"/>
      </w:pPr>
      <w:bookmarkStart w:id="59" w:name="_Toc205532869"/>
      <w:r>
        <w:t>Российский государственный педагогический университет им. А. И. Герцена, 07.08.2025, Программа долгосрочных сбережений</w:t>
      </w:r>
      <w:bookmarkEnd w:id="59"/>
    </w:p>
    <w:p w:rsidR="0094671A" w:rsidRDefault="0094671A" w:rsidP="00623EE5">
      <w:pPr>
        <w:pStyle w:val="Heading3"/>
      </w:pPr>
      <w:bookmarkStart w:id="60" w:name="_Toc205532870"/>
      <w:r>
        <w:t>С января 2024 года в России действует Программа долгосрочных сбережений (ПДС), являющаяся универсальным сберегательным продуктом для граждан России.</w:t>
      </w:r>
      <w:bookmarkEnd w:id="60"/>
    </w:p>
    <w:p w:rsidR="0094671A" w:rsidRDefault="0094671A" w:rsidP="0094671A">
      <w:r>
        <w:t>Программа долгосрочных сбережений — это новый сберегательный продукт, который можно оформить в одном из негосударственных пенсионных фондов.</w:t>
      </w:r>
    </w:p>
    <w:p w:rsidR="0094671A" w:rsidRDefault="0094671A" w:rsidP="0094671A">
      <w:r>
        <w:lastRenderedPageBreak/>
        <w:t>Позволяет человеку за 15 лет сформировать денежную подушку безопасности, накопить на крупную покупку или получить дополнительный доход к пенсии.</w:t>
      </w:r>
    </w:p>
    <w:p w:rsidR="0094671A" w:rsidRDefault="0094671A" w:rsidP="0094671A">
      <w:r>
        <w:t>Деньги, накопленные по Программе, можно начать использовать через 15 лет или по достижении возраста 55 лет для женщин и 60 лет для мужчин.</w:t>
      </w:r>
    </w:p>
    <w:p w:rsidR="0094671A" w:rsidRDefault="0094671A" w:rsidP="0094671A">
      <w:r>
        <w:t>Преимущества:</w:t>
      </w:r>
    </w:p>
    <w:p w:rsidR="0094671A" w:rsidRDefault="0094671A" w:rsidP="0094671A">
      <w:r>
        <w:t xml:space="preserve">    Наследование на этапе накопления — 100% средств на счёте;</w:t>
      </w:r>
    </w:p>
    <w:p w:rsidR="0094671A" w:rsidRDefault="0094671A" w:rsidP="0094671A">
      <w:r>
        <w:t xml:space="preserve">    Гарантия безубыточности. НПФ обязан обеспечить сохранность средств на счёте;</w:t>
      </w:r>
    </w:p>
    <w:p w:rsidR="0094671A" w:rsidRDefault="0094671A" w:rsidP="0094671A">
      <w:r>
        <w:t xml:space="preserve">    Перевод пенсионных накоплений по обязательному пенсионному страхованию (ОПС). Возможность гибкого распоряжения накопленным в ОПС.</w:t>
      </w:r>
    </w:p>
    <w:p w:rsidR="0094671A" w:rsidRDefault="0094671A" w:rsidP="0094671A">
      <w:r>
        <w:t>С помощью Программы вы можете накопить средства, чтобы в будущем, например:</w:t>
      </w:r>
    </w:p>
    <w:p w:rsidR="0094671A" w:rsidRDefault="0094671A" w:rsidP="0094671A">
      <w:r>
        <w:t xml:space="preserve">    потратить их на обучение детей</w:t>
      </w:r>
    </w:p>
    <w:p w:rsidR="0094671A" w:rsidRDefault="0094671A" w:rsidP="0094671A">
      <w:r>
        <w:t xml:space="preserve">    внести первый взнос на покупку жилья</w:t>
      </w:r>
    </w:p>
    <w:p w:rsidR="0094671A" w:rsidRDefault="0094671A" w:rsidP="0094671A">
      <w:r>
        <w:t xml:space="preserve">    использовать их как дополнительный доход к будущей пенсии</w:t>
      </w:r>
    </w:p>
    <w:p w:rsidR="0094671A" w:rsidRDefault="0094671A" w:rsidP="0094671A">
      <w:r>
        <w:t>Негосударственный пенсионный фонд (НПФ), который вы выберете, будет инвестировать ваши средства, чтобы приумножить сбережения. При выполнении определённых условий вы получите от государства прибавку к своим сбережениям.</w:t>
      </w:r>
    </w:p>
    <w:p w:rsidR="0094671A" w:rsidRDefault="0094671A" w:rsidP="0094671A">
      <w:r>
        <w:t>Полная информация о Программе на сайте pds.napf.ru</w:t>
      </w:r>
    </w:p>
    <w:p w:rsidR="0094671A" w:rsidRPr="00F64CF5" w:rsidRDefault="00000000" w:rsidP="0094671A">
      <w:hyperlink r:id="rId16" w:history="1">
        <w:r w:rsidR="0094671A" w:rsidRPr="002A4B7F">
          <w:rPr>
            <w:rStyle w:val="Hyperlink"/>
          </w:rPr>
          <w:t>https://www.herzen.spb.ru/sotrudnikam/pds/</w:t>
        </w:r>
      </w:hyperlink>
      <w:r w:rsidR="0094671A">
        <w:t xml:space="preserve"> </w:t>
      </w:r>
    </w:p>
    <w:p w:rsidR="00A3620D" w:rsidRPr="00F64CF5" w:rsidRDefault="00A3620D" w:rsidP="00A3620D">
      <w:pPr>
        <w:pStyle w:val="Heading2"/>
      </w:pPr>
      <w:bookmarkStart w:id="61" w:name="_Toc205532871"/>
      <w:r w:rsidRPr="00F64CF5">
        <w:t>Рязанские ведомости, 07.08.2025, В Рязанской области работает Программа долгосрочных сбережений</w:t>
      </w:r>
      <w:bookmarkEnd w:id="61"/>
    </w:p>
    <w:p w:rsidR="00A3620D" w:rsidRPr="00F64CF5" w:rsidRDefault="00A3620D" w:rsidP="00623EE5">
      <w:pPr>
        <w:pStyle w:val="Heading3"/>
      </w:pPr>
      <w:bookmarkStart w:id="62" w:name="_Toc205532872"/>
      <w:r w:rsidRPr="00F64CF5">
        <w:t>В Рязанской области с начала года уже заключены более 23 тысяч договоров по Программе долгосрочных сбережений.</w:t>
      </w:r>
      <w:bookmarkEnd w:id="62"/>
    </w:p>
    <w:p w:rsidR="00A3620D" w:rsidRPr="00F64CF5" w:rsidRDefault="00A3620D" w:rsidP="00A3620D">
      <w:r w:rsidRPr="00F64CF5">
        <w:t>Она предусматривает государственное софинансирование. Оно может составить до 36 тысяч рублей в год в течение трех лет. Минимальный срок участия в программе составляет 15 лет. Воспользоваться накоплениями раньше можно по достижении 60 лет для мужчин и 55 лет для женщин. Накопленные средства направляются для предоставления ежемесячных выплат, которые по выбору самого гражданина будут производиться пожизненно или в течение 10 лет и более. Средства также можно получить в виде единовременной выплаты, если это предусмотрено договором.</w:t>
      </w:r>
    </w:p>
    <w:p w:rsidR="00A3620D" w:rsidRPr="00F64CF5" w:rsidRDefault="00A3620D" w:rsidP="00A3620D">
      <w:r w:rsidRPr="00F64CF5">
        <w:t>Стать участником Программы долгосрочных сбережений может любой гражданин России старше 18 лет. Для этого необходимо выбрать негосударственный пенсионный фонд и заключить с ним договор. Узнать подробности можно на портале «Мои Финансы».</w:t>
      </w:r>
    </w:p>
    <w:p w:rsidR="00A3620D" w:rsidRPr="00F64CF5" w:rsidRDefault="00A3620D" w:rsidP="00A3620D">
      <w:r w:rsidRPr="00F64CF5">
        <w:t>Программа долгосрочных сбережений разработана Министерством финансов РФ совместно с Банком России.</w:t>
      </w:r>
    </w:p>
    <w:p w:rsidR="00250639" w:rsidRPr="00F64CF5" w:rsidRDefault="00000000" w:rsidP="00A3620D">
      <w:hyperlink r:id="rId17" w:history="1">
        <w:r w:rsidR="00A3620D" w:rsidRPr="00F64CF5">
          <w:rPr>
            <w:rStyle w:val="Hyperlink"/>
          </w:rPr>
          <w:t>https://rv-ryazan.ru/v-ryazanskoj-oblasti-rabotaet-programma-dolgosrochnyx-sberezhenij/</w:t>
        </w:r>
      </w:hyperlink>
    </w:p>
    <w:p w:rsidR="006B1B2E" w:rsidRPr="00F64CF5" w:rsidRDefault="006B1B2E" w:rsidP="006B1B2E">
      <w:pPr>
        <w:pStyle w:val="Heading2"/>
      </w:pPr>
      <w:bookmarkStart w:id="63" w:name="_Toc205532873"/>
      <w:r w:rsidRPr="00F64CF5">
        <w:lastRenderedPageBreak/>
        <w:t>blagoveshensk.bezformata.com, 07.08.2025, ПДС и софинансирование государства для самозанятых и ИП</w:t>
      </w:r>
      <w:bookmarkEnd w:id="63"/>
    </w:p>
    <w:p w:rsidR="006B1B2E" w:rsidRPr="00F64CF5" w:rsidRDefault="006B1B2E" w:rsidP="00623EE5">
      <w:pPr>
        <w:pStyle w:val="Heading3"/>
      </w:pPr>
      <w:bookmarkStart w:id="64" w:name="_Toc205532874"/>
      <w:r w:rsidRPr="00F64CF5">
        <w:t>Минфин Амурской области подготовил подборку разъяснений по Программе долгосрочных сбережений (ПДС) для самозанятых и индивидуальных предпринимателей.</w:t>
      </w:r>
      <w:bookmarkEnd w:id="64"/>
    </w:p>
    <w:p w:rsidR="006B1B2E" w:rsidRPr="00F64CF5" w:rsidRDefault="006B1B2E" w:rsidP="006B1B2E">
      <w:r w:rsidRPr="00F64CF5">
        <w:t>На вопросы ответила Наталья Каменская - начальник отдела регулирования НПФ Минфина России, одна из авторов ПДС.</w:t>
      </w:r>
    </w:p>
    <w:p w:rsidR="006B1B2E" w:rsidRPr="00F64CF5" w:rsidRDefault="006B1B2E" w:rsidP="006B1B2E">
      <w:r w:rsidRPr="00F64CF5">
        <w:t>Вопрос:  Могут ли самозанятые и ИП получить софинансирование и налоговый вычет?</w:t>
      </w:r>
    </w:p>
    <w:p w:rsidR="006B1B2E" w:rsidRPr="00F64CF5" w:rsidRDefault="006B1B2E" w:rsidP="006B1B2E">
      <w:r w:rsidRPr="00F64CF5">
        <w:t>Да, самозанятые и ИП могут получить софинансирование.</w:t>
      </w:r>
    </w:p>
    <w:p w:rsidR="006B1B2E" w:rsidRPr="00F64CF5" w:rsidRDefault="006B1B2E" w:rsidP="006B1B2E">
      <w:r w:rsidRPr="00F64CF5">
        <w:t>Налоговый вычет для самозанятого – в лимите до 10 тыс. рублей. Индивидуальный предприниматель может получить налоговый вычет в случае, если он платит НДФЛ.</w:t>
      </w:r>
    </w:p>
    <w:p w:rsidR="006B1B2E" w:rsidRPr="00F64CF5" w:rsidRDefault="006B1B2E" w:rsidP="006B1B2E">
      <w:r w:rsidRPr="00F64CF5">
        <w:t>Вопрос:  Действует ли градация дохода для самозанятых и ИП, как для всех остальных?</w:t>
      </w:r>
    </w:p>
    <w:p w:rsidR="006B1B2E" w:rsidRPr="00F64CF5" w:rsidRDefault="006B1B2E" w:rsidP="006B1B2E">
      <w:r w:rsidRPr="00F64CF5">
        <w:t>Да, градация по размеру среднемесячного дохода для получения софинансирования по ПДС одинаковая для всех.</w:t>
      </w:r>
    </w:p>
    <w:p w:rsidR="006B1B2E" w:rsidRPr="00F64CF5" w:rsidRDefault="006B1B2E" w:rsidP="006B1B2E">
      <w:r w:rsidRPr="00F64CF5">
        <w:t>Вопрос:  А если участник ПДС работает неофициально?</w:t>
      </w:r>
    </w:p>
    <w:p w:rsidR="006B1B2E" w:rsidRPr="00F64CF5" w:rsidRDefault="006B1B2E" w:rsidP="006B1B2E">
      <w:r w:rsidRPr="00F64CF5">
        <w:t xml:space="preserve">Участник ПДС, не имеющий дохода, может претендовать на софинансирование. В этом случае он будет подпадать под установленную категорию участника с доходом от 0 до 80 тыс. рублей, и софинансирование будет осуществляться в пропорции 1:1. Максимальная сумма софинансирования составляет 36 тыс. рублей в год. </w:t>
      </w:r>
    </w:p>
    <w:p w:rsidR="00A3620D" w:rsidRPr="00F64CF5" w:rsidRDefault="00000000" w:rsidP="006B1B2E">
      <w:hyperlink r:id="rId18" w:history="1">
        <w:r w:rsidR="006B1B2E" w:rsidRPr="00F64CF5">
          <w:rPr>
            <w:rStyle w:val="Hyperlink"/>
          </w:rPr>
          <w:t>https://blagoveshensk.bezformata.com/listnews/pds-i/149427791/</w:t>
        </w:r>
      </w:hyperlink>
    </w:p>
    <w:p w:rsidR="006B1B2E" w:rsidRPr="00F64CF5" w:rsidRDefault="006B1B2E" w:rsidP="006B1B2E">
      <w:pPr>
        <w:pStyle w:val="Heading2"/>
      </w:pPr>
      <w:bookmarkStart w:id="65" w:name="_Toc205532875"/>
      <w:r w:rsidRPr="00F64CF5">
        <w:t>Лента новостей Ямала, 07.08.2025, Долгосрочные сбережения – фундамент для финансовой стабильности в будущем</w:t>
      </w:r>
      <w:bookmarkEnd w:id="65"/>
    </w:p>
    <w:p w:rsidR="006B1B2E" w:rsidRPr="00F64CF5" w:rsidRDefault="006B1B2E" w:rsidP="00623EE5">
      <w:pPr>
        <w:pStyle w:val="Heading3"/>
      </w:pPr>
      <w:bookmarkStart w:id="66" w:name="_Toc205532876"/>
      <w:r w:rsidRPr="00F64CF5">
        <w:t>Долгосрочные сбережения – фундамент для финансовой стабильности в будущем. Хранить деньги в заначке под матрасом имеет свои минусы, ведь сколько ни оставь, сумма не прибавится. С программой долгосрочных сбережений можно приумножить свои средства!</w:t>
      </w:r>
      <w:bookmarkEnd w:id="66"/>
    </w:p>
    <w:p w:rsidR="006B1B2E" w:rsidRPr="00F64CF5" w:rsidRDefault="006B1B2E" w:rsidP="006B1B2E">
      <w:r w:rsidRPr="00F64CF5">
        <w:t>Подробнее в ролике.</w:t>
      </w:r>
    </w:p>
    <w:p w:rsidR="006B1B2E" w:rsidRPr="00F64CF5" w:rsidRDefault="00000000" w:rsidP="006B1B2E">
      <w:hyperlink r:id="rId19" w:history="1">
        <w:r w:rsidR="006B1B2E" w:rsidRPr="00F64CF5">
          <w:rPr>
            <w:rStyle w:val="Hyperlink"/>
          </w:rPr>
          <w:t>https://yamal-news.ru/society/2025/08/07/23322.html</w:t>
        </w:r>
      </w:hyperlink>
    </w:p>
    <w:p w:rsidR="006B1B2E" w:rsidRPr="00F64CF5" w:rsidRDefault="006B1B2E" w:rsidP="006B1B2E"/>
    <w:p w:rsidR="00111D7C" w:rsidRDefault="00111D7C" w:rsidP="00111D7C">
      <w:pPr>
        <w:pStyle w:val="Heading1"/>
      </w:pPr>
      <w:bookmarkStart w:id="67" w:name="_Toc165991074"/>
      <w:bookmarkStart w:id="68" w:name="_Toc205532877"/>
      <w:r w:rsidRPr="00F64CF5">
        <w:lastRenderedPageBreak/>
        <w:t>Новости развития системы обязательного пенсионного страхования и страховой пенсии</w:t>
      </w:r>
      <w:bookmarkEnd w:id="42"/>
      <w:bookmarkEnd w:id="43"/>
      <w:bookmarkEnd w:id="44"/>
      <w:bookmarkEnd w:id="67"/>
      <w:bookmarkEnd w:id="68"/>
    </w:p>
    <w:p w:rsidR="004A6C96" w:rsidRDefault="004A6C96" w:rsidP="004A6C96">
      <w:pPr>
        <w:pStyle w:val="Heading2"/>
      </w:pPr>
      <w:bookmarkStart w:id="69" w:name="_Toc205532878"/>
      <w:r>
        <w:t>Парламентская газета, 08.08.2025</w:t>
      </w:r>
      <w:r w:rsidRPr="004A6C96">
        <w:t xml:space="preserve">, </w:t>
      </w:r>
      <w:r>
        <w:t>Соцдоплату к пенсии назначат по новым правилам</w:t>
      </w:r>
      <w:bookmarkEnd w:id="69"/>
    </w:p>
    <w:p w:rsidR="004A6C96" w:rsidRDefault="004A6C96" w:rsidP="004A6C96">
      <w:pPr>
        <w:pStyle w:val="Heading3"/>
      </w:pPr>
      <w:bookmarkStart w:id="70" w:name="_Toc205532879"/>
      <w:r>
        <w:t>Соцфонд будет назначать соцдоплаты к пенсиям в течение пяти рабочих дней с момента получения сведений о положенных пенсионеру видах соцподдержки. Предполагающее это постановление Правительства вступает в силу 1 января 2026 года. «Парламентская газета» узнала подробности.</w:t>
      </w:r>
      <w:bookmarkEnd w:id="70"/>
    </w:p>
    <w:p w:rsidR="004A6C96" w:rsidRDefault="004A6C96" w:rsidP="004A6C96">
      <w:r>
        <w:t>НЕ МЕНЬШЕ ПРОЖИТОЧНОГО МИНИМУМА</w:t>
      </w:r>
    </w:p>
    <w:p w:rsidR="004A6C96" w:rsidRDefault="004A6C96" w:rsidP="004A6C96">
      <w:r>
        <w:t>По закону ни один неработающий пожилой человек в России не может получать итоговый доход – пенсию, ежемесячные выплаты, денежный эквивалент льгот – ниже прожиточного минимума пенсионера в регионе, где он живет. И если положенные ему выплаты оказываются меньше, государство назначает ему соцдоплату. Такие начисления, по данным Социального фонда, получают более шести миллионов пожилых людей.</w:t>
      </w:r>
    </w:p>
    <w:p w:rsidR="004A6C96" w:rsidRDefault="004A6C96" w:rsidP="004A6C96">
      <w:r>
        <w:t>«Правительство утвердило порядок, по которому территориальные органы Соцфонда смогут устанавливать и выплачивать региональную социальную доплату к пенсии в тех субъектах, где власти передадут им эти полномочия по соглашению. Норма начнет применяться с 1 января 2026 года», – пояснил «Парламентской газете» член Комитета Госдумы по малому и среднему предпринимательству Алексей Говырин.</w:t>
      </w:r>
    </w:p>
    <w:p w:rsidR="004A6C96" w:rsidRDefault="004A6C96" w:rsidP="004A6C96">
      <w:r>
        <w:t>Речь в документе идет о случаях, когда региональный прожиточный минимум для пенсионера выше федерального, если ниже, то Соцфонд делал доплату и раньше. Размер доплаты в этих случаях рассчитывают так, чтобы итоговый доход сравнялся с региональным прожиточным минимумом.</w:t>
      </w:r>
    </w:p>
    <w:p w:rsidR="004A6C96" w:rsidRDefault="004A6C96" w:rsidP="004A6C96">
      <w:r>
        <w:t>Согласно утвержденным Правительством правилам, назначать доплату будут автоматически, подавать для этого заявления не надо. Принять соответствующее решение Соцфонд должен будет в течение пяти рабочих дней с момента получения сведений об установленных пенсионеру видах соцподдержки. Для начисления доплаты откроют лицевой счет. Если пенсионер уже состоит на учете в территориальном органе Соцфонда, то дополнительный счет не понадобится.</w:t>
      </w:r>
    </w:p>
    <w:p w:rsidR="004A6C96" w:rsidRDefault="004A6C96" w:rsidP="004A6C96">
      <w:r>
        <w:t>БЕЗ ЗАБЕГА ПО ИНСТАНЦИЯМ</w:t>
      </w:r>
    </w:p>
    <w:p w:rsidR="004A6C96" w:rsidRDefault="004A6C96" w:rsidP="004A6C96">
      <w:r>
        <w:t>Доплату назначат всем пожилым людям, у которых сумма всех положенных им выплат недотягивает до регионального прожиточного минимума пенсионера. Эти деньги придут вместе с пенсией. Подсчет сделает сам Соцфонд: он запросит сведения через единую цифровую платформу, а при необходимости – в уполномоченном органе субъекта, рассказал Алексей Говырин. О принятом решении пенсионера уведомят способом, позволяющим зафиксировать факт и дату отправки сообщения.</w:t>
      </w:r>
    </w:p>
    <w:p w:rsidR="004A6C96" w:rsidRDefault="004A6C96" w:rsidP="004A6C96">
      <w:r>
        <w:t xml:space="preserve">«Для удобства пожилых людей процедура беззаявительная: бежать по инстанциям не потребуется. Фонд ежемесячно сверяет доходы, учитывает факт работы и пересчитывает сумму в течение трех рабочих дней после поступления сведений об </w:t>
      </w:r>
      <w:r>
        <w:lastRenderedPageBreak/>
        <w:t>индексациях и изменениях выплат. Выплата приостанавливается на период официальной занятости, а также когда совокупный доход достигает регионального минимума. Возобновляется – с первого числа месяца, следующего за прекращением работы или снижением дохода», – объяснил депутат.</w:t>
      </w:r>
    </w:p>
    <w:p w:rsidR="004A6C96" w:rsidRDefault="004A6C96" w:rsidP="004A6C96">
      <w:r>
        <w:t>На каждого человека заведено электронное выплатное дело, начисления отражаются в лицевом счете.</w:t>
      </w:r>
    </w:p>
    <w:p w:rsidR="004A6C96" w:rsidRDefault="004A6C96" w:rsidP="004A6C96">
      <w:r>
        <w:t>«При переезде в другой регион дело пересылают по запросу туда, где человек встал на учет. Доставка идет тем же каналом, что и пенсия, за текущий месяц. Невостребованные суммы можно получить за последние три года, а если задержка возникла по вине органа, ограничений по сроку нет», – добавил Говырин.</w:t>
      </w:r>
    </w:p>
    <w:p w:rsidR="004A6C96" w:rsidRDefault="004A6C96" w:rsidP="004A6C96">
      <w:r>
        <w:t>Переплаты удерживают по правилам страховых пенсий. По заявлению получателя доплату можно перечислять на счет организации соцобслуживания в счет платы за стационарные услуги.</w:t>
      </w:r>
    </w:p>
    <w:p w:rsidR="004A6C96" w:rsidRDefault="004A6C96" w:rsidP="004A6C96">
      <w:r>
        <w:t>«Региону нужно лишь решить вопрос передачи полномочий, после чего все текущие операции – от установления права до выдачи справки о размере доплаты – берет на себя Соцфонд», – добавил Алексей Говырин.</w:t>
      </w:r>
    </w:p>
    <w:p w:rsidR="004A6C96" w:rsidRPr="004A6C96" w:rsidRDefault="004A6C96" w:rsidP="004A6C96">
      <w:r>
        <w:t>Ольга Шульга</w:t>
      </w:r>
    </w:p>
    <w:p w:rsidR="005972B1" w:rsidRPr="00F64CF5" w:rsidRDefault="005972B1" w:rsidP="005972B1">
      <w:pPr>
        <w:pStyle w:val="Heading2"/>
      </w:pPr>
      <w:bookmarkStart w:id="71" w:name="_Toc205532880"/>
      <w:r w:rsidRPr="00F64CF5">
        <w:t>RT, 07.08.2025, Сенатор Епифанова рассказала, кому положены льготы по имущественному налогу</w:t>
      </w:r>
      <w:bookmarkEnd w:id="71"/>
    </w:p>
    <w:p w:rsidR="005972B1" w:rsidRPr="00F64CF5" w:rsidRDefault="005972B1" w:rsidP="00623EE5">
      <w:pPr>
        <w:pStyle w:val="Heading3"/>
      </w:pPr>
      <w:bookmarkStart w:id="72" w:name="_Toc205532881"/>
      <w:r w:rsidRPr="00F64CF5">
        <w:t>На федеральном уровне в России для пенсионеров и граждан предпенсионного возраста, являющихся владельцами дачных участков, действуют некоторые льготы. Прежде всего они касаются налогообложения, напомнила в беседе с RT сенатор, председатель общероссийского общественного движения «Социал-демократический союз женщин России» Ольга Епифанова.</w:t>
      </w:r>
      <w:bookmarkEnd w:id="72"/>
    </w:p>
    <w:p w:rsidR="005972B1" w:rsidRPr="00F64CF5" w:rsidRDefault="005972B1" w:rsidP="005972B1">
      <w:r w:rsidRPr="00F64CF5">
        <w:t>"Земельный налог не взимается с площади до шести соток, а если участок больше - налог начисляется только на излишек. По имущественному налогу льготы также предусмотрены: пенсионеры освобождаются от налога на одну постройку каждого типа (жилой дом, баня, гараж, сарай, хозпостройка) при условии, что площадь не превышает 50 кв. м. Если здание официально не оформлено, желательно пройти процедуру регистрации, чтобы избежать возможных проблем в будущем", - добавила она.</w:t>
      </w:r>
    </w:p>
    <w:p w:rsidR="005972B1" w:rsidRPr="00F64CF5" w:rsidRDefault="005972B1" w:rsidP="005972B1">
      <w:r w:rsidRPr="00F64CF5">
        <w:t>По словам парламентария, снижение налоговой нагрузки также предусмотрено для предпенсионеров - женщин от 55 лет и мужчин от 60, если те обратились с соответствующим заявлением в налоговую инспекцию.</w:t>
      </w:r>
    </w:p>
    <w:p w:rsidR="005972B1" w:rsidRPr="00F64CF5" w:rsidRDefault="005972B1" w:rsidP="005972B1">
      <w:r w:rsidRPr="00F64CF5">
        <w:t>"Без подачи официального запроса льготы применяться не будут. Наряду с федеральными преференциями, в ряде регионов России могут действовать и дополнительные налоговые льготы, такие как полное освобождение от земельного налога для ветеранов или почётных граждан. Об этом можно узнать в местных органах социальной защиты", - заключила собеседница RT.</w:t>
      </w:r>
    </w:p>
    <w:p w:rsidR="005972B1" w:rsidRPr="00F64CF5" w:rsidRDefault="005972B1" w:rsidP="005972B1">
      <w:r w:rsidRPr="00F64CF5">
        <w:t>Ранее депутат Госдумы Алексей Говырин заявил в беседе с RT, что массового повышения пенсий в сентябре 2025 года не будет.</w:t>
      </w:r>
    </w:p>
    <w:p w:rsidR="005972B1" w:rsidRPr="00F64CF5" w:rsidRDefault="00000000" w:rsidP="005972B1">
      <w:hyperlink r:id="rId20" w:history="1">
        <w:r w:rsidR="005972B1" w:rsidRPr="00F64CF5">
          <w:rPr>
            <w:rStyle w:val="Hyperlink"/>
          </w:rPr>
          <w:t>https://russian.rt.com/russia/news/1517635-senator-epifanova-lgoty-dachniki</w:t>
        </w:r>
      </w:hyperlink>
      <w:r w:rsidR="005972B1" w:rsidRPr="00F64CF5">
        <w:t xml:space="preserve"> </w:t>
      </w:r>
    </w:p>
    <w:p w:rsidR="0095325C" w:rsidRPr="00F64CF5" w:rsidRDefault="0095325C" w:rsidP="0095325C">
      <w:pPr>
        <w:pStyle w:val="Heading2"/>
      </w:pPr>
      <w:bookmarkStart w:id="73" w:name="a5"/>
      <w:bookmarkStart w:id="74" w:name="_Toc205532882"/>
      <w:bookmarkEnd w:id="73"/>
      <w:r w:rsidRPr="00F64CF5">
        <w:t>СенатИнформ, 07.08.2025, Размер будущей пенсии по старости можно узнать самостоятельно</w:t>
      </w:r>
      <w:bookmarkEnd w:id="74"/>
    </w:p>
    <w:p w:rsidR="0095325C" w:rsidRPr="00F64CF5" w:rsidRDefault="0095325C" w:rsidP="00623EE5">
      <w:pPr>
        <w:pStyle w:val="Heading3"/>
      </w:pPr>
      <w:bookmarkStart w:id="75" w:name="_Toc205532883"/>
      <w:r w:rsidRPr="00F64CF5">
        <w:t>Чтобы узнать, какой будет будущая страховая пенсия по старости, лучше воспользоваться специальной формулой и данными из выписки из лицевого счёта. Об этом рассказал портал «Госуслуги» в своём официальном Telegram-канале.</w:t>
      </w:r>
      <w:bookmarkEnd w:id="75"/>
    </w:p>
    <w:p w:rsidR="0095325C" w:rsidRPr="00F64CF5" w:rsidRDefault="0095325C" w:rsidP="0095325C">
      <w:r w:rsidRPr="00F64CF5">
        <w:t>Страховая пенсия по старости состоит из двух частей: основной страховой выплаты и фиксированной выплаты, которая добавляется к ней.</w:t>
      </w:r>
    </w:p>
    <w:p w:rsidR="0095325C" w:rsidRPr="00F64CF5" w:rsidRDefault="0095325C" w:rsidP="0095325C">
      <w:r w:rsidRPr="00F64CF5">
        <w:t>Для расчёта будущей пенсии по специальной формуле потребуется узнать величину индивидуального пенсионного коэффициента (ИПК). Его можно найти в выписке из лицевого счета, которую можно запросить через «Госуслуги».</w:t>
      </w:r>
    </w:p>
    <w:p w:rsidR="0095325C" w:rsidRPr="00F64CF5" w:rsidRDefault="0095325C" w:rsidP="0095325C">
      <w:r w:rsidRPr="00F64CF5">
        <w:t>Кроме того, нужно учитывать стоимость одного пенсионного коэффициента. В 2025 году он составит 145,69 рублей. Также в расчёт идёт фиксированная часть пенсии, которая в 2025 году равна 8 907,70 рублей.</w:t>
      </w:r>
    </w:p>
    <w:p w:rsidR="0095325C" w:rsidRPr="00F64CF5" w:rsidRDefault="0095325C" w:rsidP="0095325C">
      <w:r w:rsidRPr="00F64CF5">
        <w:t>Сложив все эти данные, можно узнать свою будущую пенсию по формуле: страховая пенсия = ИПК Ч стоимость пенсионного коэффициента + фиксированная часть. Например, если ИПК человека равен 65, то расчёт будет следующим: 65 Ч 145,69 рублей + 8 907,70 рублей. В результате сумма пенсии составит 18 377,55 рублей.</w:t>
      </w:r>
    </w:p>
    <w:p w:rsidR="0095325C" w:rsidRPr="00F64CF5" w:rsidRDefault="0095325C" w:rsidP="0095325C">
      <w:r w:rsidRPr="00F64CF5">
        <w:t>Однако подчёркивается, что в зависимости от ситуации могут быть предусмотрены дополнительные доплаты к этой сумме.</w:t>
      </w:r>
    </w:p>
    <w:p w:rsidR="0095325C" w:rsidRPr="00F64CF5" w:rsidRDefault="0095325C" w:rsidP="0095325C">
      <w:r w:rsidRPr="00F64CF5">
        <w:t>Ранее глава палаты регионов Валентина Матвиенко говорила, что бюджет страны должен гарантировать выполнение всех социальных обязательств перед гражданами, включая индексацию пенсий.</w:t>
      </w:r>
    </w:p>
    <w:p w:rsidR="0095325C" w:rsidRPr="00F64CF5" w:rsidRDefault="0095325C" w:rsidP="0095325C">
      <w:r w:rsidRPr="00F64CF5">
        <w:t>Напомним, Президент РФ Владимир Путин предложил возобновить индексацию пенсий работающих пенсионеров. Российский лидер отметил, что с 1 февраля 2025 года пенсии будут повышаться как у тех, кто ушел на пенсию, так и у тех, кто продолжает работать.</w:t>
      </w:r>
    </w:p>
    <w:p w:rsidR="0095325C" w:rsidRPr="00F64CF5" w:rsidRDefault="0095325C" w:rsidP="0095325C">
      <w:r w:rsidRPr="00F64CF5">
        <w:t>Наше издание также сообщало, что с 1 января 2025 года в России началась индексация страховых пенсий, а с 1 апреля социальные пенсии также будут проиндексированы.</w:t>
      </w:r>
    </w:p>
    <w:p w:rsidR="0095325C" w:rsidRPr="00F64CF5" w:rsidRDefault="00000000" w:rsidP="0095325C">
      <w:hyperlink r:id="rId21" w:history="1">
        <w:r w:rsidR="0095325C" w:rsidRPr="00F64CF5">
          <w:rPr>
            <w:rStyle w:val="Hyperlink"/>
          </w:rPr>
          <w:t>https://senatinform.ru/news/razmer_budushchey_pensii_po_starosti_mozhno_uznat_samostoyatelno/</w:t>
        </w:r>
      </w:hyperlink>
      <w:r w:rsidR="0095325C" w:rsidRPr="00F64CF5">
        <w:t xml:space="preserve"> </w:t>
      </w:r>
    </w:p>
    <w:p w:rsidR="00A3620D" w:rsidRPr="00F64CF5" w:rsidRDefault="00A3620D" w:rsidP="00A3620D">
      <w:pPr>
        <w:pStyle w:val="Heading2"/>
      </w:pPr>
      <w:bookmarkStart w:id="76" w:name="a6"/>
      <w:bookmarkStart w:id="77" w:name="_Toc205532884"/>
      <w:bookmarkEnd w:id="76"/>
      <w:r w:rsidRPr="00F64CF5">
        <w:lastRenderedPageBreak/>
        <w:t>Коммерсантъ, 07.08.2025, Число пенсионеров в РФ на 1 июля составило 40,8 млн человек</w:t>
      </w:r>
      <w:bookmarkEnd w:id="77"/>
    </w:p>
    <w:p w:rsidR="00A3620D" w:rsidRPr="00F64CF5" w:rsidRDefault="00A3620D" w:rsidP="00623EE5">
      <w:pPr>
        <w:pStyle w:val="Heading3"/>
      </w:pPr>
      <w:bookmarkStart w:id="78" w:name="_Toc205532885"/>
      <w:r w:rsidRPr="00F64CF5">
        <w:t>Численность пенсионеров в России на 1 июля 2025 года достигла 40,8 млн человек, свидетельствуют данные Соцфонда, имеющиеся в распоряжении «РИА Новости». За I полугодие показатель сократился: в начале года на учете состояло почти 41,2 млн граждан.</w:t>
      </w:r>
      <w:bookmarkEnd w:id="78"/>
    </w:p>
    <w:p w:rsidR="00A3620D" w:rsidRPr="00F64CF5" w:rsidRDefault="00A3620D" w:rsidP="00A3620D">
      <w:r w:rsidRPr="00F64CF5">
        <w:t>Более 7,6 млн россиян продолжают работать после выхода на пенсию. Пенсии по инвалидности получают почти 2,3 млн человек, по потере кормильца — около 1,45 млн.</w:t>
      </w:r>
    </w:p>
    <w:p w:rsidR="00A3620D" w:rsidRPr="00F64CF5" w:rsidRDefault="00A3620D" w:rsidP="00A3620D">
      <w:r w:rsidRPr="00F64CF5">
        <w:t>Программы долгосрочных сбережений уверенно расширяют нишу на рынке негосударственных пенсий. К середине 2025 года объем привлеченных средств превысил 414 млрд руб., а количество участников достигло 5,4 млн человек.</w:t>
      </w:r>
    </w:p>
    <w:p w:rsidR="00A3620D" w:rsidRPr="00F64CF5" w:rsidRDefault="00000000" w:rsidP="00A3620D">
      <w:hyperlink r:id="rId22" w:history="1">
        <w:r w:rsidR="00A3620D" w:rsidRPr="00F64CF5">
          <w:rPr>
            <w:rStyle w:val="Hyperlink"/>
          </w:rPr>
          <w:t>https://www.kommersant.ru/doc/7943021</w:t>
        </w:r>
      </w:hyperlink>
      <w:r w:rsidR="00A3620D" w:rsidRPr="00F64CF5">
        <w:t xml:space="preserve"> </w:t>
      </w:r>
    </w:p>
    <w:p w:rsidR="0095325C" w:rsidRPr="00F64CF5" w:rsidRDefault="0095325C" w:rsidP="0095325C">
      <w:pPr>
        <w:pStyle w:val="Heading2"/>
      </w:pPr>
      <w:bookmarkStart w:id="79" w:name="_Toc205532886"/>
      <w:r w:rsidRPr="00F64CF5">
        <w:t>РИА Время, 07.08.2025, С августа работающих пенсионеров ждет прибавка к пенсии</w:t>
      </w:r>
      <w:bookmarkEnd w:id="79"/>
    </w:p>
    <w:p w:rsidR="0095325C" w:rsidRPr="00F64CF5" w:rsidRDefault="0095325C" w:rsidP="00623EE5">
      <w:pPr>
        <w:pStyle w:val="Heading3"/>
      </w:pPr>
      <w:bookmarkStart w:id="80" w:name="_Toc205532887"/>
      <w:r w:rsidRPr="00F64CF5">
        <w:t>С 1 августа Социальный фонд России увеличил страховые пенсии пенсионерам, которые продолжали трудиться в 2024 году. Перерасчет коснулся 9,6 миллиона человек.</w:t>
      </w:r>
      <w:bookmarkEnd w:id="80"/>
    </w:p>
    <w:p w:rsidR="0095325C" w:rsidRPr="00F64CF5" w:rsidRDefault="0095325C" w:rsidP="0095325C">
      <w:r w:rsidRPr="00F64CF5">
        <w:t>Сумма страховых взносов зависит от заработной платы, поэтому прибавка у каждого работающего пенсионера будет индивидуальной, исходя из стоимости пенсионного коэффициента, установленного к выплате. Максимально можно получить три пенсионных коэффициента.</w:t>
      </w:r>
    </w:p>
    <w:p w:rsidR="0095325C" w:rsidRPr="00F64CF5" w:rsidRDefault="0095325C" w:rsidP="0095325C">
      <w:r w:rsidRPr="00F64CF5">
        <w:t>Напомним, Социальный фонд России с 1 января 2025 года возобновил индексацию пенсий для работающих пенсионеров. Размер увеличения рассчитывался исходя из проиндексированного размера установленной гражданину пенсии и был прибавлен к выплачиваемой пенсии.</w:t>
      </w:r>
    </w:p>
    <w:p w:rsidR="0095325C" w:rsidRPr="00F64CF5" w:rsidRDefault="0095325C" w:rsidP="0095325C">
      <w:r w:rsidRPr="00F64CF5">
        <w:t>- Фонд сделал все возможное, чтобы максимально упростить процесс. Гражданам не нужно никуда обращаться - все необходимые выплаты будут начислены в августе автоматически в соответствии с установленным графиком с учетом сумм увеличения пенсии после перерасчета, - отметил председатель Социального фонда России Сергей Чирков в материале, опубликованном на официальном сайте Соцфонда РФ.</w:t>
      </w:r>
    </w:p>
    <w:p w:rsidR="0095325C" w:rsidRPr="00F64CF5" w:rsidRDefault="0095325C" w:rsidP="0095325C">
      <w:r w:rsidRPr="00F64CF5">
        <w:t>Также в Социальном фонде России напомнили, что граждане, которым в июле исполнилось 80 лет, со дня достижения 80 лет будут получать фиксированную выплату к страховой пенсии в двойном размере - 17815,4 рубля вместо базовых 8907,7 рубля.</w:t>
      </w:r>
    </w:p>
    <w:p w:rsidR="0095325C" w:rsidRPr="00F64CF5" w:rsidRDefault="0095325C" w:rsidP="0095325C">
      <w:r w:rsidRPr="00F64CF5">
        <w:t>Если пенсионер в июле нынешнего года стал инвалидом I группы, ему также со дня установления I группы инвалидности будет произведен перерасчет размера фиксированной выплаты. Размер фиксированной выплаты увеличится на 8907,7 рубля.</w:t>
      </w:r>
    </w:p>
    <w:p w:rsidR="0095325C" w:rsidRPr="00F64CF5" w:rsidRDefault="0095325C" w:rsidP="0095325C">
      <w:r w:rsidRPr="00F64CF5">
        <w:t xml:space="preserve">Гражданам, достигшим 80 лет, и инвалидам I группы также устанавливается надбавка на уход: к страховой пенсии - в размере 1314 рублей, к государственной пенсии - в размере 1377 рублей. Обе надбавки введены в нынешнем году и проиндексированы с 1 января и 1 апреля соответственно. В дальнейшем ежегодная индексация будет </w:t>
      </w:r>
      <w:r w:rsidRPr="00F64CF5">
        <w:lastRenderedPageBreak/>
        <w:t>продолжена. Установленные в июле надбавки престарелые и инвалиды I группы начнут получать с августа. Обратите внимание! Прибавка к пенсии выплачивается только по одному из оснований. Например, если 80 лет исполняется инвалиду I группы, надбавки за возраст ему не полагается, поскольку он уже получает фиксированную выплату в двойном размере и надбавку на уход. Надбавка на уход не устанавливается инвалидам с детства I группы, которые уже получают ежемесячную выплату к пенсии в связи с уходом за ними со стороны родителей либо опекунов.</w:t>
      </w:r>
    </w:p>
    <w:p w:rsidR="0095325C" w:rsidRPr="00F64CF5" w:rsidRDefault="00000000" w:rsidP="0095325C">
      <w:hyperlink r:id="rId23" w:history="1">
        <w:r w:rsidR="0095325C" w:rsidRPr="00F64CF5">
          <w:rPr>
            <w:rStyle w:val="Hyperlink"/>
          </w:rPr>
          <w:t>https://ria-time.ru/news/c-avgusta-rabotayushih-pensionerov-zhdet-pribavka-k-pensii</w:t>
        </w:r>
      </w:hyperlink>
      <w:r w:rsidR="0095325C" w:rsidRPr="00F64CF5">
        <w:t xml:space="preserve"> </w:t>
      </w:r>
    </w:p>
    <w:p w:rsidR="0095325C" w:rsidRPr="00F64CF5" w:rsidRDefault="0095325C" w:rsidP="0095325C">
      <w:pPr>
        <w:pStyle w:val="Heading2"/>
      </w:pPr>
      <w:bookmarkStart w:id="81" w:name="_Toc205532888"/>
      <w:r w:rsidRPr="00F64CF5">
        <w:t>Красная весна, 07.08.2025, Соцфонд назвал число пенсионеров в России</w:t>
      </w:r>
      <w:bookmarkEnd w:id="81"/>
    </w:p>
    <w:p w:rsidR="0095325C" w:rsidRPr="00F64CF5" w:rsidRDefault="0095325C" w:rsidP="00623EE5">
      <w:pPr>
        <w:pStyle w:val="Heading3"/>
      </w:pPr>
      <w:bookmarkStart w:id="82" w:name="_Toc205532889"/>
      <w:r w:rsidRPr="00F64CF5">
        <w:t>41 млн человек на 1 июля 2025 года зафиксированы в системе Социального фонда России, 7 августа сообщает РИА Новости, ссылаясь на его сведения. Напомним, 7 августа по радио «Вести ФМ» при объявлении числа пенсионеров добавили, что почти треть пенсионеров продолжают работать, или, скорее, вынуждены при малой пенсии иметь дополнительный заработок.</w:t>
      </w:r>
      <w:bookmarkEnd w:id="82"/>
    </w:p>
    <w:p w:rsidR="0095325C" w:rsidRPr="00F64CF5" w:rsidRDefault="0095325C" w:rsidP="0095325C">
      <w:r w:rsidRPr="00F64CF5">
        <w:t>Границей бедности в январе-марте 2025 года отнесен доход в размере 16 621 на душу населения, тогда как за аналогичный период 2024 года эта величина составляла 15 096. Отмечено, что граница бедности поднялась на 10% в годовом выражении, по данным Росстата.</w:t>
      </w:r>
    </w:p>
    <w:p w:rsidR="0095325C" w:rsidRPr="00F64CF5" w:rsidRDefault="0095325C" w:rsidP="0095325C">
      <w:r w:rsidRPr="00F64CF5">
        <w:t>По последним данным, средний размер пенсии в РФ достиг уровня в 23 456 рублей в месяц. Она увеличилась на 281 рубль с начала 2025 года.</w:t>
      </w:r>
    </w:p>
    <w:p w:rsidR="0095325C" w:rsidRPr="00F64CF5" w:rsidRDefault="0095325C" w:rsidP="0095325C">
      <w:r w:rsidRPr="00F64CF5">
        <w:t>СФР открыл статистику средней пенсии на 1 июля 2025 года. Социальная пенсия. Она назначена тем, у кого нет права на страховые и государственные пенсии. Ее платят по старости, инвалидности, потере кормильца, а также детям, оба родителя которых неизвестны. В России гражданам, кому положена социальная пенсия, платят в среднем 15,5 тысячи рублей в месяц.</w:t>
      </w:r>
    </w:p>
    <w:p w:rsidR="0095325C" w:rsidRPr="00F64CF5" w:rsidRDefault="0095325C" w:rsidP="0095325C">
      <w:r w:rsidRPr="00F64CF5">
        <w:t>Также напомним, население России начали экономить на предметах роскоши и не стыдятся бедности. Об этом со ссылкой на исследование, проведенное финансовым маркетплейсом, 5 августа сообщило издание «АиФ».</w:t>
      </w:r>
    </w:p>
    <w:p w:rsidR="0095325C" w:rsidRPr="00F64CF5" w:rsidRDefault="0095325C" w:rsidP="0095325C">
      <w:r w:rsidRPr="00F64CF5">
        <w:t>Стоит подчеркнуть, что 27 процентов граждан России теперь экономят даже на тех вещах, которые можно считать вещам первой необходимости. На то, что за последний год качество финансового положения ощутимо ухудшилось, пожаловались 60 процентов граждан РФ.</w:t>
      </w:r>
    </w:p>
    <w:p w:rsidR="0095325C" w:rsidRPr="00F64CF5" w:rsidRDefault="0095325C" w:rsidP="0095325C">
      <w:r w:rsidRPr="00F64CF5">
        <w:t>На сокращении развлечений (а также спорте) и приобретении бытовой техники экономили 51 и 28 процентов опрошенных соответственно. Исследование также показало, что 44 процента людей пытаются закупать более дешевые товары, а 18 процентов совершают закупки оптом.</w:t>
      </w:r>
    </w:p>
    <w:p w:rsidR="0095325C" w:rsidRPr="00F64CF5" w:rsidRDefault="00000000" w:rsidP="0095325C">
      <w:hyperlink r:id="rId24" w:history="1">
        <w:r w:rsidR="0095325C" w:rsidRPr="00F64CF5">
          <w:rPr>
            <w:rStyle w:val="Hyperlink"/>
          </w:rPr>
          <w:t>https://rossaprimavera.ru/news/d7757946</w:t>
        </w:r>
      </w:hyperlink>
      <w:r w:rsidR="0095325C" w:rsidRPr="00F64CF5">
        <w:t xml:space="preserve"> </w:t>
      </w:r>
    </w:p>
    <w:p w:rsidR="004C4BC8" w:rsidRPr="00F64CF5" w:rsidRDefault="004C4BC8" w:rsidP="004C4BC8">
      <w:pPr>
        <w:pStyle w:val="Heading2"/>
      </w:pPr>
      <w:bookmarkStart w:id="83" w:name="_Toc205532890"/>
      <w:r w:rsidRPr="00F64CF5">
        <w:lastRenderedPageBreak/>
        <w:t>PensNews, 07.08.2025, С 1 сентября 2025 года всем пенсионерам добавят 10 000 рублей: кто получит первым</w:t>
      </w:r>
      <w:bookmarkEnd w:id="83"/>
    </w:p>
    <w:p w:rsidR="004C4BC8" w:rsidRPr="00F64CF5" w:rsidRDefault="004C4BC8" w:rsidP="00623EE5">
      <w:pPr>
        <w:pStyle w:val="Heading3"/>
      </w:pPr>
      <w:bookmarkStart w:id="84" w:name="_Toc205532891"/>
      <w:r w:rsidRPr="00F64CF5">
        <w:t>Получатели страховых пенсий по старости, которым в августе 2025 года исполнилось 80 лет, получат повышенные выплаты уже в сентябре. Об этом сообщил кандидат экономических наук, доцент Финансового университета при правительстве РФ Игорь Балынин.</w:t>
      </w:r>
      <w:bookmarkEnd w:id="84"/>
    </w:p>
    <w:p w:rsidR="004C4BC8" w:rsidRPr="00F64CF5" w:rsidRDefault="004C4BC8" w:rsidP="004C4BC8">
      <w:r w:rsidRPr="00F64CF5">
        <w:t>Кому и сколько добавят?</w:t>
      </w:r>
    </w:p>
    <w:p w:rsidR="004C4BC8" w:rsidRPr="00F64CF5" w:rsidRDefault="004C4BC8" w:rsidP="004C4BC8">
      <w:r w:rsidRPr="00F64CF5">
        <w:t xml:space="preserve">Согласно пояснениям эксперта, увеличение пенсии для 80-летних юбиляров составит 10 221,70 рубля. Эта сумма складывается из: </w:t>
      </w:r>
    </w:p>
    <w:p w:rsidR="004C4BC8" w:rsidRPr="00F64CF5" w:rsidRDefault="004C4BC8" w:rsidP="004C4BC8">
      <w:r w:rsidRPr="00F64CF5">
        <w:t>•</w:t>
      </w:r>
      <w:r w:rsidRPr="00F64CF5">
        <w:tab/>
        <w:t xml:space="preserve">фиксированной выплаты (8 907,70 руб.), </w:t>
      </w:r>
    </w:p>
    <w:p w:rsidR="004C4BC8" w:rsidRPr="00F64CF5" w:rsidRDefault="004C4BC8" w:rsidP="004C4BC8">
      <w:r w:rsidRPr="00F64CF5">
        <w:t>•</w:t>
      </w:r>
      <w:r w:rsidRPr="00F64CF5">
        <w:tab/>
        <w:t xml:space="preserve">надбавки за уход (1 314 руб.). </w:t>
      </w:r>
    </w:p>
    <w:p w:rsidR="004C4BC8" w:rsidRPr="00F64CF5" w:rsidRDefault="004C4BC8" w:rsidP="004C4BC8">
      <w:r w:rsidRPr="00F64CF5">
        <w:t>«В октябре повышение коснётся тех, кто отметил 80-летие в сентябре. Кроме того, с этого же месяца на 7,6% вырастут пенсии у военнослужащих и сотрудников силовых ведомств, включая Минобороны, МВД, ФСБ и ФСИН», - уточнил Балынин.</w:t>
      </w:r>
    </w:p>
    <w:p w:rsidR="004C4BC8" w:rsidRPr="00F64CF5" w:rsidRDefault="004C4BC8" w:rsidP="004C4BC8">
      <w:r w:rsidRPr="00F64CF5">
        <w:t>Дальнейшие изменения в пенсионных выплатах</w:t>
      </w:r>
    </w:p>
    <w:p w:rsidR="004C4BC8" w:rsidRPr="00F64CF5" w:rsidRDefault="004C4BC8" w:rsidP="004C4BC8">
      <w:r w:rsidRPr="00F64CF5">
        <w:t xml:space="preserve">В ноябре 2025 года повышение затронет: </w:t>
      </w:r>
    </w:p>
    <w:p w:rsidR="004C4BC8" w:rsidRPr="00F64CF5" w:rsidRDefault="004C4BC8" w:rsidP="004C4BC8">
      <w:r w:rsidRPr="00F64CF5">
        <w:t>•</w:t>
      </w:r>
      <w:r w:rsidRPr="00F64CF5">
        <w:tab/>
        <w:t xml:space="preserve">работников угольной промышленности, </w:t>
      </w:r>
    </w:p>
    <w:p w:rsidR="004C4BC8" w:rsidRPr="00F64CF5" w:rsidRDefault="004C4BC8" w:rsidP="004C4BC8">
      <w:r w:rsidRPr="00F64CF5">
        <w:t>•</w:t>
      </w:r>
      <w:r w:rsidRPr="00F64CF5">
        <w:tab/>
        <w:t xml:space="preserve">членов лётных экипажей гражданской авиации, </w:t>
      </w:r>
    </w:p>
    <w:p w:rsidR="004C4BC8" w:rsidRPr="00F64CF5" w:rsidRDefault="004C4BC8" w:rsidP="004C4BC8">
      <w:r w:rsidRPr="00F64CF5">
        <w:t>•</w:t>
      </w:r>
      <w:r w:rsidRPr="00F64CF5">
        <w:tab/>
        <w:t xml:space="preserve">граждан, которым исполнится 80 лет в октябре. </w:t>
      </w:r>
    </w:p>
    <w:p w:rsidR="004C4BC8" w:rsidRPr="00F64CF5" w:rsidRDefault="004C4BC8" w:rsidP="004C4BC8">
      <w:r w:rsidRPr="00F64CF5">
        <w:t>Экономист привёл пример: если страховая пенсия 80-летнего пенсионера в октябре составляла 39 904,97 рубля, то в ноябре она увеличится на 10 221,70 рубля и достигнет 50 126,67 рубля. Таким образом, прибавка составит 25,62% от предыдущего размера выплат.</w:t>
      </w:r>
    </w:p>
    <w:p w:rsidR="004C4BC8" w:rsidRPr="00F64CF5" w:rsidRDefault="004C4BC8" w:rsidP="004C4BC8">
      <w:r w:rsidRPr="00F64CF5">
        <w:t>Текущий размер пенсий в России</w:t>
      </w:r>
    </w:p>
    <w:p w:rsidR="004C4BC8" w:rsidRPr="00F64CF5" w:rsidRDefault="004C4BC8" w:rsidP="004C4BC8">
      <w:r w:rsidRPr="00F64CF5">
        <w:t>С февраля 2025 года средняя пенсия в стране составляет около 25 тысяч рублей. Индексация для неработающих пенсионеров проводится ежегодно, однако дополнительные надбавки, такие как доплата за 80-летие, позволяют значительно увеличить доходы старшего поколения.</w:t>
      </w:r>
    </w:p>
    <w:p w:rsidR="004C4BC8" w:rsidRPr="00F64CF5" w:rsidRDefault="004C4BC8" w:rsidP="004C4BC8">
      <w:r w:rsidRPr="00F64CF5">
        <w:t>Актуальные изменения пенсионной системы направлены на поддержку наиболее уязвимых категорий граждан, включая долгожителей и работников опасных профессий. Ожидается, что дальнейшие корректировки выплат будут учитывать инфляцию и экономическую ситуацию в стране, сообщает источник.</w:t>
      </w:r>
    </w:p>
    <w:p w:rsidR="004C4BC8" w:rsidRDefault="00000000" w:rsidP="004C4BC8">
      <w:hyperlink r:id="rId25" w:history="1">
        <w:r w:rsidR="004C4BC8" w:rsidRPr="00F64CF5">
          <w:rPr>
            <w:rStyle w:val="Hyperlink"/>
          </w:rPr>
          <w:t>https://pensnews.ru/news/16914</w:t>
        </w:r>
      </w:hyperlink>
    </w:p>
    <w:p w:rsidR="00906134" w:rsidRDefault="00906134" w:rsidP="00906134">
      <w:pPr>
        <w:pStyle w:val="Heading2"/>
      </w:pPr>
      <w:bookmarkStart w:id="85" w:name="_Toc205532892"/>
      <w:r>
        <w:lastRenderedPageBreak/>
        <w:t>АиФ, 07.08.2025, Список определен. Кому поднимут зарплаты и пенсии этой осенью</w:t>
      </w:r>
      <w:bookmarkEnd w:id="85"/>
    </w:p>
    <w:p w:rsidR="00906134" w:rsidRDefault="00906134" w:rsidP="00623EE5">
      <w:pPr>
        <w:pStyle w:val="Heading3"/>
      </w:pPr>
      <w:bookmarkStart w:id="86" w:name="_Toc205532893"/>
      <w:r>
        <w:t>С 1 октября 2025 года ожидается индексация зарплат некоторых категорий граждан. Речь о госслужащих и бюджетниках, напомнила aif.ru профессор РЭУ им. Плеханова Наталья Проданова.</w:t>
      </w:r>
      <w:bookmarkEnd w:id="86"/>
    </w:p>
    <w:p w:rsidR="00906134" w:rsidRDefault="00906134" w:rsidP="00906134">
      <w:r>
        <w:t>"Ранее премьер-министр РФ Михаил Мишустин подписал распоряжение, согласно которому зарплаты ряда граждан вырастут на 7,6%, - пояснила экономист. - В документе уже определен список россиян, на которых он распространяет свое действие: это сотрудники федеральных казенных, бюджетных и автономных учреждений, работники федеральных государственных органов, военнослужащие, а также гражданский персонал воинских частей".</w:t>
      </w:r>
    </w:p>
    <w:p w:rsidR="00906134" w:rsidRDefault="00906134" w:rsidP="00906134">
      <w:r>
        <w:t>Если быть точнее, это все сотрудники, которые работают в таких учреждениях, как, например, органы управления, армия, суды, прокуратура, учреждения социально-культурной сферы, науки, образования, здравоохранения.</w:t>
      </w:r>
    </w:p>
    <w:p w:rsidR="00906134" w:rsidRDefault="00906134" w:rsidP="00906134">
      <w:r>
        <w:t>"То есть прибавки затронут медиков, учителей, библиотекарей, музейных работников, - уточнила эксперт. - То же самое касается сотрудников Росгвардии, МВД, ФСИН, ФССП, ФПС, таможни, фельдъегерской связи, а также военнослужащих".</w:t>
      </w:r>
    </w:p>
    <w:p w:rsidR="00906134" w:rsidRDefault="00906134" w:rsidP="00906134">
      <w:r>
        <w:t>А поскольку индексируются зарплаты военнослужащих, вырастут и выплаты граждан, относящихся к категории военных пенсионеров, дополнила Проданова.</w:t>
      </w:r>
    </w:p>
    <w:p w:rsidR="00906134" w:rsidRDefault="00906134" w:rsidP="00906134">
      <w:r>
        <w:t>"Процент увеличения такой же - 7,6%, - отметила экономист. - Все дело в том, что размер военных пенсий напрямую зависит от оклада действующих военнослужащих, составляя определенный процент денежного довольствия, который определяется в зависимости от звания, выслуги лет и других факторов".</w:t>
      </w:r>
    </w:p>
    <w:p w:rsidR="00906134" w:rsidRDefault="00906134" w:rsidP="00906134">
      <w:r>
        <w:t>И это будет последняя индексация пенсий в 2025 году. Следующее увеличение намечено на февраль 2026-го, подчеркнула профессор.</w:t>
      </w:r>
    </w:p>
    <w:p w:rsidR="00906134" w:rsidRPr="00F64CF5" w:rsidRDefault="00000000" w:rsidP="00906134">
      <w:hyperlink r:id="rId26" w:history="1">
        <w:r w:rsidR="00906134" w:rsidRPr="00F970F2">
          <w:rPr>
            <w:rStyle w:val="Hyperlink"/>
          </w:rPr>
          <w:t>https://aif.ru/money/mymoney/spisok-opredelen-komu-podnimut-zarplaty-i-pensii-etoy-osenyu</w:t>
        </w:r>
      </w:hyperlink>
      <w:r w:rsidR="00906134">
        <w:t xml:space="preserve"> </w:t>
      </w:r>
    </w:p>
    <w:p w:rsidR="00E1023B" w:rsidRPr="00F64CF5" w:rsidRDefault="00E1023B" w:rsidP="00E1023B">
      <w:pPr>
        <w:pStyle w:val="Heading2"/>
      </w:pPr>
      <w:bookmarkStart w:id="87" w:name="_Toc205532894"/>
      <w:r w:rsidRPr="00F64CF5">
        <w:t>PRIMPRESS, 07.08.2025, Пенсионерам с 8 августа зачислят на карты удержанные за 2020-2024 суммы</w:t>
      </w:r>
      <w:bookmarkEnd w:id="87"/>
    </w:p>
    <w:p w:rsidR="00E1023B" w:rsidRPr="00F64CF5" w:rsidRDefault="00E1023B" w:rsidP="00623EE5">
      <w:pPr>
        <w:pStyle w:val="Heading3"/>
      </w:pPr>
      <w:bookmarkStart w:id="88" w:name="_Toc205532895"/>
      <w:r w:rsidRPr="00F64CF5">
        <w:t>Пенсионерам сообщили, что суммы, которые ранее были удержаны из их пенсий, начнут поступать на их счета уже с 8 августа. Эти выплаты связаны с новыми судебными решениями, и практически каждый пенсионер сможет воспользоваться этим правом, рассказала пенсионный эксперт Анастасия Киреева, сообщает PRIMPRESS.</w:t>
      </w:r>
      <w:bookmarkEnd w:id="88"/>
    </w:p>
    <w:p w:rsidR="00E1023B" w:rsidRPr="00F64CF5" w:rsidRDefault="00E1023B" w:rsidP="00E1023B">
      <w:r w:rsidRPr="00F64CF5">
        <w:t>По ее словам, суды все чаще встают на сторону пожилых граждан, рассматривая случаи перерасчета пенсий и возврата неправомерно удержанных средств. Это касается ситуаций, когда за пенсионерами не зачли определённые периоды стажа или их лишили права досрочного выхода на пенсию, что приводило к финансовым потерям.</w:t>
      </w:r>
    </w:p>
    <w:p w:rsidR="00E1023B" w:rsidRPr="00F64CF5" w:rsidRDefault="00E1023B" w:rsidP="00E1023B">
      <w:r w:rsidRPr="00F64CF5">
        <w:t xml:space="preserve">«Например, если пенсионеру не учли период ухода за ребенком или работу, которая должна была повысить его пенсию, — такие ситуации сейчас исправляются через суд. </w:t>
      </w:r>
      <w:r w:rsidRPr="00F64CF5">
        <w:lastRenderedPageBreak/>
        <w:t>Важно собрать все необходимые документы и обратиться за помощью к специалистам или правозащитникам», — отметила Киреева.</w:t>
      </w:r>
    </w:p>
    <w:p w:rsidR="00E1023B" w:rsidRPr="00F64CF5" w:rsidRDefault="00E1023B" w:rsidP="00E1023B">
      <w:r w:rsidRPr="00F64CF5">
        <w:t>Чаще всего перерасчеты касались периодов с 2020 по 2024 год. Так, одна женщина вышла на пенсию в 2020 году, но позже выяснилось, что её пенсия могла быть выше. В результате, по решению суда, ей зачли период ухода за ребенком, что повысило выплату до 15 тысяч рублей, а также выплатили 6 тысяч рублей — недополученные с 2020 года.</w:t>
      </w:r>
    </w:p>
    <w:p w:rsidR="00E1023B" w:rsidRPr="00F64CF5" w:rsidRDefault="00E1023B" w:rsidP="00E1023B">
      <w:r w:rsidRPr="00F64CF5">
        <w:t>В другом случае перерасчет был произведен с этого года, и сумма к выплате достигла около 260 тысяч рублей. Пенсионер, которому не зачли три года стажа для досрочного выхода, получил эти деньги после обращения в суд. Уже с 8 августа такие суммы начнут поступать на карты многих пенсионеров.</w:t>
      </w:r>
    </w:p>
    <w:p w:rsidR="004C4BC8" w:rsidRPr="00F64CF5" w:rsidRDefault="00000000" w:rsidP="00E1023B">
      <w:hyperlink r:id="rId27" w:history="1">
        <w:r w:rsidR="00E1023B" w:rsidRPr="00F64CF5">
          <w:rPr>
            <w:rStyle w:val="Hyperlink"/>
          </w:rPr>
          <w:t>https://primpress.ru/article/125393</w:t>
        </w:r>
      </w:hyperlink>
    </w:p>
    <w:p w:rsidR="00E1023B" w:rsidRPr="00F64CF5" w:rsidRDefault="00E1023B" w:rsidP="00E1023B">
      <w:pPr>
        <w:pStyle w:val="Heading2"/>
      </w:pPr>
      <w:bookmarkStart w:id="89" w:name="_Toc205532896"/>
      <w:r w:rsidRPr="00F64CF5">
        <w:t>PRIMPRESS, 07.08.2025, Всех, кто получает пенсию на банковскую карту, ждет новая беда с 8 августа</w:t>
      </w:r>
      <w:bookmarkEnd w:id="89"/>
    </w:p>
    <w:p w:rsidR="00E1023B" w:rsidRPr="00F64CF5" w:rsidRDefault="00E1023B" w:rsidP="00623EE5">
      <w:pPr>
        <w:pStyle w:val="Heading3"/>
      </w:pPr>
      <w:bookmarkStart w:id="90" w:name="_Toc205532897"/>
      <w:r w:rsidRPr="00F64CF5">
        <w:t>Пенсионерам, получающим пенсию на банковскую карту, сообщили о новых опасных схемах мошенничества, которые начнут распространяться уже с 8 августа. Власти призывают пожилых граждан проявлять особую осторожность, поскольку в разных регионах появились новые виды обмана, сообщает PRIMPRESS.</w:t>
      </w:r>
      <w:bookmarkEnd w:id="90"/>
    </w:p>
    <w:p w:rsidR="00E1023B" w:rsidRPr="00F64CF5" w:rsidRDefault="00E1023B" w:rsidP="00E1023B">
      <w:r w:rsidRPr="00F64CF5">
        <w:t>По информации специалистов, в последние дни фиксируются случаи мошенничества, при которых злоумышленники целенаправленно выбирают пожилых людей, у которых пенсия поступает на банковскую карту. В таких ситуациях преступники уверены, что на карте у пенсионера есть деньги, и используют это для своих махинаций. Особенно часто звонки совершаются в те дни, когда пенсионерам приходят выплаты, чтобы убедить их в наличии средств.</w:t>
      </w:r>
    </w:p>
    <w:p w:rsidR="00E1023B" w:rsidRPr="00F64CF5" w:rsidRDefault="00E1023B" w:rsidP="00E1023B">
      <w:r w:rsidRPr="00F64CF5">
        <w:t>Например, в одном из регионов Европы пенсионерке позвонили и представились сотрудницей Социального фонда России. Звонившая заявила, что пенсионерке положена социальная компенсация за длительный трудовой стаж, и для её получения нужно назвать данные банковской карты. После этого с карты пожилой женщины списали 90 тысяч рублей. Вернуть эти деньги будет очень сложно, поскольку сама пенсионерка предоставила свои данные мошенникам.</w:t>
      </w:r>
    </w:p>
    <w:p w:rsidR="00E1023B" w:rsidRPr="00F64CF5" w:rsidRDefault="00E1023B" w:rsidP="00E1023B">
      <w:r w:rsidRPr="00F64CF5">
        <w:t>В связи с этим, власти призвали всех пожилых граждан с 8 августа быть особенно внимательными и ни в коем случае не сообщать никому по телефону данные своей банковской карты или другую личную информацию.</w:t>
      </w:r>
    </w:p>
    <w:p w:rsidR="00E1023B" w:rsidRPr="00F64CF5" w:rsidRDefault="00000000" w:rsidP="00E1023B">
      <w:hyperlink r:id="rId28" w:history="1">
        <w:r w:rsidR="00E1023B" w:rsidRPr="00F64CF5">
          <w:rPr>
            <w:rStyle w:val="Hyperlink"/>
          </w:rPr>
          <w:t>https://primpress.ru/article/125394</w:t>
        </w:r>
      </w:hyperlink>
    </w:p>
    <w:p w:rsidR="002C7F39" w:rsidRPr="00F64CF5" w:rsidRDefault="006224C3" w:rsidP="002C7F39">
      <w:pPr>
        <w:pStyle w:val="Heading2"/>
      </w:pPr>
      <w:bookmarkStart w:id="91" w:name="_Toc205532898"/>
      <w:r w:rsidRPr="00F64CF5">
        <w:lastRenderedPageBreak/>
        <w:t>ГлобалМСК.ру</w:t>
      </w:r>
      <w:r w:rsidR="002C7F39" w:rsidRPr="00F64CF5">
        <w:t>, 07.08.2025, Многие россияне не намерены выходить на пенсию</w:t>
      </w:r>
      <w:bookmarkEnd w:id="91"/>
    </w:p>
    <w:p w:rsidR="002C7F39" w:rsidRPr="00F64CF5" w:rsidRDefault="002C7F39" w:rsidP="00623EE5">
      <w:pPr>
        <w:pStyle w:val="Heading3"/>
      </w:pPr>
      <w:bookmarkStart w:id="92" w:name="_Toc205532899"/>
      <w:r w:rsidRPr="00F64CF5">
        <w:t>78% россиян убеждены, что работать стоит даже после достижения пенсионного возраста. По словам аналитиков, основной мотив такого поведения заключается в финансовой стабильности, так как люди прекрасно понимают, что государственные выплаты не смогут обеспечить комфортную и беспроблемную жизнь.</w:t>
      </w:r>
      <w:bookmarkEnd w:id="92"/>
    </w:p>
    <w:p w:rsidR="002C7F39" w:rsidRPr="00F64CF5" w:rsidRDefault="002C7F39" w:rsidP="002C7F39">
      <w:r w:rsidRPr="00F64CF5">
        <w:t>Ранее исследования по этому вопросу проводились неоднократно, однако результаты всегда были практически одинаковыми. Преимущественная часть населения, планирующая работать даже после выхода на пенсию, указывала на недостаток денежных средств. В последние годы многие работодатели начали весьма охотно оформлять к себе пенсионеров и людей предпенсионного возраста из-за структурных изменений на рынке труда и дефицита высококвалифицированных специалистов среди представителей более молодого поколения.</w:t>
      </w:r>
    </w:p>
    <w:p w:rsidR="002C7F39" w:rsidRPr="00F64CF5" w:rsidRDefault="002C7F39" w:rsidP="002C7F39">
      <w:r w:rsidRPr="00F64CF5">
        <w:t>Алексей Зубец, директор Центра исследований социальной экономики, прокомментировал данную ситуацию следующим образом: «Большая часть россиян заканчивает свою карьеру в 65 лет. К этому возрасту многие уже имеют различные хронические заболевания и постоянно испытывают усталость, но желание работать у людей сохраняется. Размер социальной пенсии, выплачиваемой государством, практически никого не устраивает, поэтому на данный момент в России насчитывается более 8 млн работающих пенсионеров. Граждане отмечают, что комфортной суммой для проживания является 40-50 тысяч рублей в месяц. Вот только получают такую пенсию действительно немногие».</w:t>
      </w:r>
    </w:p>
    <w:p w:rsidR="002C7F39" w:rsidRPr="00F64CF5" w:rsidRDefault="002C7F39" w:rsidP="002C7F39">
      <w:r w:rsidRPr="00F64CF5">
        <w:t>Также важно понимать, что есть профессии, которые требуют хорошей физической подготовки, а есть интеллектуальный труд. Пожилые люди далеко не всегда сохраняют необходимые качества, поэтому справляться с преимущественной частью обязанностей они просто не могут. Именно по этой причине работодатели предпочитают выбирать молодых специалистов, у которых таких проблем нет.</w:t>
      </w:r>
    </w:p>
    <w:p w:rsidR="002C7F39" w:rsidRPr="00F64CF5" w:rsidRDefault="002C7F39" w:rsidP="002C7F39">
      <w:r w:rsidRPr="00F64CF5">
        <w:t>Другие эксперты считают, что такое большое количество граждан, желающих продолжить работать после выхода на пенсию, говорит о сильной финансовой уязвимости населения. Люди воспринимают занятость как способ сохранить стабильный доход, активность и социальную вовлеченность. Размер пенсионных выплат редко позволяет обеспечить достойный уровень жизни, поэтому на первом месте остается финансовый аспект. По официальной статистике, накопления есть далеко не у всех, да и зачастую они настолько незначительные, что прожить на них можно всего несколько месяцев. Поэтому оставаться на работе даже после достижения пенсионного возраста - это не выбор, а необходимость.</w:t>
      </w:r>
    </w:p>
    <w:p w:rsidR="002C7F39" w:rsidRPr="00F64CF5" w:rsidRDefault="002C7F39" w:rsidP="002C7F39">
      <w:r w:rsidRPr="00F64CF5">
        <w:t>Но не стоит недооценивать и нематериальный фактор. Сохранение трудоустройства позволяет пожилым россиянам получить ощущение нужности, а также в значительной степени улучшает их психоэмоциональное состояние. В особенности это касается граждан, занимающихся интеллектуальной деятельностью.</w:t>
      </w:r>
    </w:p>
    <w:p w:rsidR="002C7F39" w:rsidRPr="00F64CF5" w:rsidRDefault="002C7F39" w:rsidP="002C7F39">
      <w:r w:rsidRPr="00F64CF5">
        <w:t xml:space="preserve">Есть мнение, что россияне просто не верят в отечественную пенсионную систему, поэтому не готовы прощаться с работой. Разумеется, далеко не все из них смогут справляться со своими обязанностями, как это было в молодые годы. Проблемы со </w:t>
      </w:r>
      <w:r w:rsidRPr="00F64CF5">
        <w:lastRenderedPageBreak/>
        <w:t>здоровьем и снижение внимания только лишь ухудшают их положение. Это одновременно и вызов для государства, и важный сигнал работодателям, для которых зрелый возраст все чаще превращается в ресурс. Однако доминирующий мотив ни у кого не вызывает вопросы - прожить только на пенсию в России крайне сложно.</w:t>
      </w:r>
    </w:p>
    <w:p w:rsidR="00E1023B" w:rsidRPr="00F64CF5" w:rsidRDefault="00000000" w:rsidP="002C7F39">
      <w:hyperlink r:id="rId29" w:history="1">
        <w:r w:rsidR="002C7F39" w:rsidRPr="00F64CF5">
          <w:rPr>
            <w:rStyle w:val="Hyperlink"/>
          </w:rPr>
          <w:t>https://www.globalmsk.ru/news/id/75708</w:t>
        </w:r>
      </w:hyperlink>
    </w:p>
    <w:p w:rsidR="002C7F39" w:rsidRPr="00F64CF5" w:rsidRDefault="002C7F39" w:rsidP="002C7F39"/>
    <w:p w:rsidR="00111D7C" w:rsidRDefault="00111D7C" w:rsidP="00111D7C">
      <w:pPr>
        <w:pStyle w:val="251"/>
      </w:pPr>
      <w:bookmarkStart w:id="93" w:name="_Toc99271704"/>
      <w:bookmarkStart w:id="94" w:name="_Toc99318656"/>
      <w:bookmarkStart w:id="95" w:name="_Toc165991076"/>
      <w:bookmarkStart w:id="96" w:name="_Toc62681899"/>
      <w:bookmarkStart w:id="97" w:name="_Toc205532900"/>
      <w:bookmarkEnd w:id="24"/>
      <w:bookmarkEnd w:id="25"/>
      <w:bookmarkEnd w:id="26"/>
      <w:bookmarkEnd w:id="45"/>
      <w:r w:rsidRPr="00F64CF5">
        <w:lastRenderedPageBreak/>
        <w:t>НОВОСТИ МАКРОЭКОНОМИКИ</w:t>
      </w:r>
      <w:bookmarkEnd w:id="93"/>
      <w:bookmarkEnd w:id="94"/>
      <w:bookmarkEnd w:id="95"/>
      <w:bookmarkEnd w:id="97"/>
    </w:p>
    <w:p w:rsidR="00577376" w:rsidRDefault="00577376" w:rsidP="00577376">
      <w:pPr>
        <w:pStyle w:val="Heading2"/>
      </w:pPr>
      <w:bookmarkStart w:id="98" w:name="_Toc205532901"/>
      <w:r>
        <w:t>Коммерсантъ</w:t>
      </w:r>
      <w:r w:rsidRPr="0072209B">
        <w:t xml:space="preserve">, </w:t>
      </w:r>
      <w:r>
        <w:t>07.08.2025</w:t>
      </w:r>
      <w:r w:rsidRPr="0072209B">
        <w:t xml:space="preserve">, </w:t>
      </w:r>
      <w:r>
        <w:t>Пайщики распробовали долги</w:t>
      </w:r>
      <w:bookmarkEnd w:id="98"/>
    </w:p>
    <w:p w:rsidR="00577376" w:rsidRDefault="00577376" w:rsidP="00577376">
      <w:pPr>
        <w:pStyle w:val="Heading3"/>
      </w:pPr>
      <w:bookmarkStart w:id="99" w:name="_Toc205532902"/>
      <w:r>
        <w:t>Объем привлечений в облигационные ПИФы в июле 2025 года обновил исторический рекорд, достигнув 153 млрд руб., почти в три раза перекрыв показатель предыдущего месяца. Он обеспечен за счет перетоков средств с депозитов, ставки по которым опустились к уровням годовой давности, а также из фондов денежного рынка. В ближайшие месяцы тенденция может усилиться по мере дальнейшего снижения ставок. При этом массового ухода из ПИФов денежного рынка управляющие не ждут, поскольку текущая доходность по ним остается вблизи ключевой ставки.</w:t>
      </w:r>
      <w:bookmarkEnd w:id="99"/>
    </w:p>
    <w:p w:rsidR="00577376" w:rsidRDefault="00577376" w:rsidP="00577376">
      <w:r>
        <w:t>По оценке “Ъ”, основанной на данных Investfunds, в июле 2025 года чистый приток в фонды облигаций составил рекордные 153 млрд руб., почти в три раза превысив показатель предыдущего месяца. Эта сумма также учитывает показатель ОПИФа «Первая — Накопительный», который Investfunds относит формально к фондам смешанного типа, но в котором значительную долю активов составляют облигации. В результате за шесть месяцев чистое привлечение в облигационные ПИФы превысило 293 млрд руб.</w:t>
      </w:r>
    </w:p>
    <w:p w:rsidR="00577376" w:rsidRDefault="00577376" w:rsidP="00577376">
      <w:r>
        <w:t>Почти весь объем средств в июле пришелся на фонды трех крупнейших участников рынка — УК «Первая» (106,7 млрд руб.), «Альфа-Капитал» (25,7 млрд руб.), «ВИМ Инвестиции» (7,5 млрд руб.).</w:t>
      </w:r>
    </w:p>
    <w:p w:rsidR="00577376" w:rsidRDefault="00577376" w:rsidP="00577376">
      <w:r>
        <w:t>Спрос инвесторов на облигационные фонды связан с высокими результатами, которые они показали с начала года, а также ожиданием дальнейшего снижения ключевой ставки Банком России. По данным Investfunds, каждый второй ПИФ рублевых облигаций (без учета фондов с выплатой промежуточного дохода) показал с начала года прирост стоимости пая на 16–32%. «Мы начали обращать внимание клиентов еще с конца прошлого года, когда в декабре регулятор неожиданно для рынка сохранил ключевую ставку неизменной»,— отмечает руководитель отдела поддержки продаж УК «Первая» Андрей Макаров. По словам главы департамента управления активами «Альфа-Капитала» Виктора Барка, «преобладающий вклад внесли состоятельные клиенты, обеспечив в июле более половины поступлений в паевые фонды».</w:t>
      </w:r>
    </w:p>
    <w:p w:rsidR="00577376" w:rsidRDefault="00577376" w:rsidP="00577376">
      <w:r>
        <w:t>Основной приток средств шел с банковских депозитов, ставки по которым стремительно снижаются и уже не удовлетворяют часть клиентов, отмечает господин Барк. По данным ЦБ, по итогам июля средняя максимальная ставка по вкладам топ-10 банков опустилась до 16,4% годовых, тем самым вернувшись к значению годовой давности. Этот результат на 1,9 п. п. ниже значения месячной давности и на 5,3 п. п. ниже значения начала года. За июль индекс RUSFAR (отражает справедливую стоимость денег на основе сделок репо, заключаемых на денежном рынке Московской биржи) опустился более чем на 2 п. п., но до 18,12% годовых.</w:t>
      </w:r>
    </w:p>
    <w:p w:rsidR="00577376" w:rsidRDefault="00577376" w:rsidP="00577376">
      <w:r>
        <w:t>Участники рынка также отмечают усилившиеся перетоки из фондов других категорий.</w:t>
      </w:r>
    </w:p>
    <w:p w:rsidR="00577376" w:rsidRDefault="00577376" w:rsidP="00577376">
      <w:r>
        <w:t xml:space="preserve">По данным Investfunds, чистый отток средств из фондов денежного рынка составил 7,5 млрд руб., тогда как в предыдущие полгода они фиксировали регулярный приток </w:t>
      </w:r>
      <w:r>
        <w:lastRenderedPageBreak/>
        <w:t>средств. Оттоки из фондов акций выросли с 1,6 млрд до 8,5 млрд руб., второй по величине отрицательный результат за все время наблюдений. Предыдущий антирекорд был установлен в августе 2024 года, когда из таких ПИФов было выведено 10,5 млрд руб.</w:t>
      </w:r>
    </w:p>
    <w:p w:rsidR="00577376" w:rsidRDefault="00577376" w:rsidP="00577376">
      <w:r>
        <w:t>В итоге в июле чистый приток во все категории розничных фондов составил 133,7 млрд руб., на 18,5% превысив результат июня и став третьим по величине результатом за все время существования отрасли. Больший объем средств поступал в такие ПИФы в октябре 2024 года (более 141 млрд руб.) и декабре 2024 года (более 235 млрд руб.).</w:t>
      </w:r>
    </w:p>
    <w:p w:rsidR="00577376" w:rsidRDefault="00577376" w:rsidP="00577376">
      <w:r>
        <w:t>В условиях снижения ставок приток инвестиций на рынок коллективных инвестиций продолжится. «Если внешняя конъюнктура останется стабильной, Банк России, скорее всего, продолжит движение в сторону более мягкой денежно-кредитной политики — как на сентябрьском заседании, так и в дальнейшем. Это, в свою очередь, продолжит поддерживать спрос на долговые инструменты»,— отмечает Андрей Макаров. По оценке УК «Первая», к концу года ключевая ставка может опуститься до 16%.</w:t>
      </w:r>
    </w:p>
    <w:p w:rsidR="00577376" w:rsidRDefault="00577376" w:rsidP="00577376">
      <w:r>
        <w:t>Вместе с тем фонды денежного рынка продолжат сталкиваться с точечными оттоками, но массового ухода из них пайщиков управляющие не ждут. «Ставки на денежном рынке по-прежнему остаются высокими, и этот инструмент будет пользоваться спросом у инвесторов, желающих разместить краткосрочную ликвидность с доходностью, близкой к ключевой ставке»,— отмечает руководитель департамента портфельных инвестиций «ВИМ Инвестиции» Сергей Дюдин. По мнению Виктора Барка, самые консервативные инвесторы будут оставаться в фондах денежного рынка, так как это единственный инструмент с минимальным процентным и кредитным риском.</w:t>
      </w:r>
    </w:p>
    <w:p w:rsidR="00577376" w:rsidRDefault="00577376" w:rsidP="00577376">
      <w:r>
        <w:t>Виталий Гайдаев</w:t>
      </w:r>
    </w:p>
    <w:p w:rsidR="0095325C" w:rsidRPr="00F64CF5" w:rsidRDefault="0095325C" w:rsidP="0095325C">
      <w:pPr>
        <w:pStyle w:val="Heading2"/>
      </w:pPr>
      <w:bookmarkStart w:id="100" w:name="_Toc99271711"/>
      <w:bookmarkStart w:id="101" w:name="_Toc99318657"/>
      <w:bookmarkStart w:id="102" w:name="_Toc205532903"/>
      <w:r w:rsidRPr="00F64CF5">
        <w:t>Коммерсантъ, 07.08.2025, Перед трудом не все равны</w:t>
      </w:r>
      <w:bookmarkEnd w:id="102"/>
    </w:p>
    <w:p w:rsidR="0095325C" w:rsidRPr="00F64CF5" w:rsidRDefault="0095325C" w:rsidP="00623EE5">
      <w:pPr>
        <w:pStyle w:val="Heading3"/>
      </w:pPr>
      <w:bookmarkStart w:id="103" w:name="_Toc205532904"/>
      <w:r w:rsidRPr="00F64CF5">
        <w:t>Хотя все поколения российских работников ценят одни и те же базовые характеристики занятости, они отличаются друг от друга предпочтениями бонусов, формата работы и организации рабочего места. Так, медицинское страхование (ДМС) входит в топ-3 у всех, однако интерес к нему максимален у поколения Y (1981–1996 года рождения, 81%). Молодым же в разы интереснее возможность получить дополнительный отпуск, и, как ни парадоксально, в разы менее их привлекает доступ к корпоративному образованию.</w:t>
      </w:r>
      <w:bookmarkEnd w:id="103"/>
    </w:p>
    <w:p w:rsidR="0095325C" w:rsidRPr="00F64CF5" w:rsidRDefault="0095325C" w:rsidP="0095325C">
      <w:r w:rsidRPr="00F64CF5">
        <w:t xml:space="preserve">Разные поколения работников в РФ ценят одни и те же базовые характеристики рабочего места, в том, как они относятся к офису, мотивации и своим коллегам, есть заметные различия. Задачу их проанализировать поставили себе эксперты консалтинговой компании Coleman Group — в основе их работы результаты детального онлайн-опроса более 300 респондентов. Их поделили на четыре поколения в зависимости от возраста — в их числе оказались беби-бумеры, рожденные до 1964 года, поколение Х 1965–1980 года рождения, поколение Y (также известное как миллениалы) 1981–1996 года рождения и зумеры, рожденные c 1997-го по 2012-й. Среди тем, которые фигурировали в вопросах исследования,— отношение к работе и </w:t>
      </w:r>
      <w:r w:rsidRPr="00F64CF5">
        <w:lastRenderedPageBreak/>
        <w:t>зарплате, коммуникация с коллегами и начальством, предпочтения в графике занятости.</w:t>
      </w:r>
    </w:p>
    <w:p w:rsidR="0095325C" w:rsidRPr="00F64CF5" w:rsidRDefault="0095325C" w:rsidP="0095325C">
      <w:r w:rsidRPr="00F64CF5">
        <w:t>Главными приоритетами для работников любого поколения ожидаемо стали уровень оплаты труда (83%) и официальное трудоустройство (65%): сотрудники любого поколения ценят стабильность и защищенность. На третьем месте оказалось наличие гибкого или удаленного формата работы (47%). Для 39% опрошенных важен социальный пакет, а еще 30% — репутация компании, в которой они работают. При этом спрос на традиционные корпоративные бонусы невысок: пенсионные программы важны для 10%, страховки — для 11% опрошенных, люди фокусируются на «здесь и сейчас».</w:t>
      </w:r>
    </w:p>
    <w:p w:rsidR="0095325C" w:rsidRPr="00F64CF5" w:rsidRDefault="0095325C" w:rsidP="0095325C">
      <w:r w:rsidRPr="00F64CF5">
        <w:t>Тем не менее определенные различия в предпочитаемых бонусах все же есть. Так, медицинское страхование входит в топ-3 у всех поколений, однако максимален интерес к нему у поколения Y (81%). Ценность дополнительного отпуска также показывает четкую привязку к возрасту — молодые поколения больше ценят личное время, поэтому среди зумеров интерес к нему самый высокий (59%). Напротив, интерес к корпоративному обучению по мере смены поколений падает — если среди бумеров оно востребовано более чем у трети опрошенных (36%), то среди зумеров — менее чем у четверти (23%).</w:t>
      </w:r>
    </w:p>
    <w:p w:rsidR="0095325C" w:rsidRPr="00F64CF5" w:rsidRDefault="0095325C" w:rsidP="0095325C">
      <w:r w:rsidRPr="00F64CF5">
        <w:t>Отвечая на вопросы о рабочей атмосфере, большинство респондентов выбрали командную работу (63%), им также важны контроль и внимание руководителя (43%) и плоская структура иерархии в компании (40%). В числе второстепенных, но все же важных факторов — автономная работа (35%), индивидуальная работа (29%) и строгая иерархия (11%). Ценность автономии при этом тем выше, чем выше опыт: максимален интерес к ней у бумеров (57%), умерен — у молодых поколений (33%). Наибольший спрос на командную работу предъявляют миллениалы (73%), в то время как у поколений до и после них она не вызывает такого энтузиазма. Наконец, зумеры сочетают несочетаемое: любовь к командам (56%) и одновременно с этим к индивидуализму (38%).</w:t>
      </w:r>
    </w:p>
    <w:p w:rsidR="0095325C" w:rsidRPr="00F64CF5" w:rsidRDefault="0095325C" w:rsidP="0095325C">
      <w:r w:rsidRPr="00F64CF5">
        <w:t>Среди базовых, важных для всех требований к рабочему месту выделяются два: это наличие в компании кухни с напитками и перекусами (чай/кофе, фрукты) ценят 82% и предоставление отдельного кабинета или оборудованной рабочей зоны — это важно для 52%. При этом, отмечают авторы опроса, в головах сотрудников постепенно происходит эволюция восприятия — от «рабочего места» к «пространству для жизни». Об этом свидетельствует предпочтение зумерами комнаты для отдыха собственному рабочему кабинету.</w:t>
      </w:r>
    </w:p>
    <w:p w:rsidR="00111D7C" w:rsidRPr="00F64CF5" w:rsidRDefault="0095325C" w:rsidP="0095325C">
      <w:r w:rsidRPr="00F64CF5">
        <w:t>Отметим, что примерно с 2022 года предпочтения одного из самых сложных поколений на рынке труда — зумеров — формировались в условиях низкой безработицы, что позволяло им выставлять работодателям достаточно высокие требования к работе, зарплате и условиям труда. Однако сейчас, под воздействием высокой ключевой ставки ЦБ, экономика замедляется, и спрос на сотрудников будет падать — более того, ряд крупных предприятий уже начали выводить в простой текущий персонал. Это может повлиять на запросы к компаниям со стороны молодежи и вынудить их сделать свои запросы более похожими на те, которые в ходу у предыдущих поколений сотрудников.</w:t>
      </w:r>
    </w:p>
    <w:p w:rsidR="0095325C" w:rsidRPr="00F64CF5" w:rsidRDefault="00000000" w:rsidP="0095325C">
      <w:hyperlink r:id="rId30" w:history="1">
        <w:r w:rsidR="0095325C" w:rsidRPr="00F64CF5">
          <w:rPr>
            <w:rStyle w:val="Hyperlink"/>
          </w:rPr>
          <w:t>https://www.kommersant.ru/doc/7942930</w:t>
        </w:r>
      </w:hyperlink>
    </w:p>
    <w:p w:rsidR="00B91DE6" w:rsidRPr="00F64CF5" w:rsidRDefault="00B91DE6" w:rsidP="00B91DE6">
      <w:pPr>
        <w:pStyle w:val="Heading2"/>
      </w:pPr>
      <w:bookmarkStart w:id="104" w:name="_Toc205532905"/>
      <w:r w:rsidRPr="00F64CF5">
        <w:lastRenderedPageBreak/>
        <w:t>Известия, 07.08.2025, Что делать, если по облигациям объявлен дефолт. Разбор</w:t>
      </w:r>
      <w:bookmarkEnd w:id="104"/>
    </w:p>
    <w:p w:rsidR="00B91DE6" w:rsidRPr="00F64CF5" w:rsidRDefault="00B91DE6" w:rsidP="00623EE5">
      <w:pPr>
        <w:pStyle w:val="Heading3"/>
      </w:pPr>
      <w:bookmarkStart w:id="105" w:name="_Toc205532906"/>
      <w:r w:rsidRPr="00F64CF5">
        <w:t>Число дефолтов по облигациям за первые шесть месяцев 2025 года превысило аналогичный показатель за весь предыдущий год. Причинами дефолтов компаний называют продолжительное действие высокой ключевой ставки и рост долговой нагрузки на компании. Как определить признаки надвигающегося дефолта и что делать инвестору, если он наступил, - в материале «Известий».</w:t>
      </w:r>
      <w:bookmarkEnd w:id="105"/>
    </w:p>
    <w:p w:rsidR="00B91DE6" w:rsidRPr="00F64CF5" w:rsidRDefault="00B91DE6" w:rsidP="00B91DE6">
      <w:r w:rsidRPr="00F64CF5">
        <w:t>Что такое дефолт</w:t>
      </w:r>
    </w:p>
    <w:p w:rsidR="00B91DE6" w:rsidRPr="00F64CF5" w:rsidRDefault="00B91DE6" w:rsidP="00B91DE6">
      <w:r w:rsidRPr="00F64CF5">
        <w:t>Дефолт - это невозможность компании выплачивать проценты держателям облигаций (бондов). По сути облигация является долговой распиской: эмитент (компания, выпустившая облигации) берет у инвестора деньги в долг и обязуется ежегодно выплачивать процент за их использование. В случае пропуска этого платежа хотя бы на один день или невозможности для компании вовремя опубликовать бухгалтерскую отчетность наступает технический дефолт.</w:t>
      </w:r>
    </w:p>
    <w:p w:rsidR="00B91DE6" w:rsidRPr="00F64CF5" w:rsidRDefault="00B91DE6" w:rsidP="00B91DE6">
      <w:r w:rsidRPr="00F64CF5">
        <w:t>Технический дефолт необязательно выедет к банкротству: возможно, у компании есть средства, но она не может выполнить обязательства перед инвесторами в срок. После объявления технического дефолта кредитный рейтинг эмитента понижается и он получает статус «под наблюдением». У компании есть две недели на урегулирование ситуации. Но и сам по себе технический дефолт уже несет риски для компании: снижение кредитного рейтинга усложняет размещение ценных бумаг и привлечение средств.</w:t>
      </w:r>
    </w:p>
    <w:p w:rsidR="00B91DE6" w:rsidRPr="00F64CF5" w:rsidRDefault="00B91DE6" w:rsidP="00B91DE6">
      <w:r w:rsidRPr="00F64CF5">
        <w:t>Справка «Известий»</w:t>
      </w:r>
    </w:p>
    <w:p w:rsidR="00B91DE6" w:rsidRPr="00F64CF5" w:rsidRDefault="00B91DE6" w:rsidP="00B91DE6">
      <w:r w:rsidRPr="00F64CF5">
        <w:t>Кредитный рейтинг эмитента определяется по единой национальной рейтинговой шкале. Оценка от ААА до А- означает максимальную надежность, компании в категории от ВВВ до В- имеют среднюю надежность, а оценка от ССС до С фактически является преддефолтной.</w:t>
      </w:r>
    </w:p>
    <w:p w:rsidR="00B91DE6" w:rsidRPr="00F64CF5" w:rsidRDefault="00B91DE6" w:rsidP="00B91DE6">
      <w:r w:rsidRPr="00F64CF5">
        <w:t>Если компания за 10 рабочих дней не успевает исправить ситуацию, ее рейтинг понижается до дефолтного: он обозначается буквой D. Теперь у эмитента только два пути - договориться о реструктуризации долга со своими кредиторами или пройти процедуру банкротства.</w:t>
      </w:r>
    </w:p>
    <w:p w:rsidR="00B91DE6" w:rsidRPr="00F64CF5" w:rsidRDefault="00B91DE6" w:rsidP="00B91DE6">
      <w:r w:rsidRPr="00F64CF5">
        <w:t>Что делать инвестору в случае дефолта</w:t>
      </w:r>
    </w:p>
    <w:p w:rsidR="00B91DE6" w:rsidRPr="00F64CF5" w:rsidRDefault="00B91DE6" w:rsidP="00B91DE6">
      <w:r w:rsidRPr="00F64CF5">
        <w:t>Если компании не удастся реструктуризировать долг, инвестор может либо избавиться от дефолтных облигаций, либо идти в суд, чтобы получить возмещение в результате процедуры банкротства. Но оба варианта сопряжены с рисками.</w:t>
      </w:r>
    </w:p>
    <w:p w:rsidR="00B91DE6" w:rsidRPr="00F64CF5" w:rsidRDefault="00B91DE6" w:rsidP="00B91DE6">
      <w:r w:rsidRPr="00F64CF5">
        <w:t>Дефолтные облигации можно продать, в том случае если на них найдется покупатель, и сделать это нужно как можно быстрее, пока они полностью не обесценились. Правда, бывают случаи, когда сохранять ценные бумаги может быть выгодно. «Киви Финанс», чьи облигации после дефолта упали в цене на 50-60% от номинала, через несколько месяцев выкупила практически весь выпуск бондов 001Р-02, и те, кто приобретал дефолтные облигации, оказались в плюсе.</w:t>
      </w:r>
    </w:p>
    <w:p w:rsidR="00B91DE6" w:rsidRPr="00F64CF5" w:rsidRDefault="00B91DE6" w:rsidP="00B91DE6">
      <w:r w:rsidRPr="00F64CF5">
        <w:lastRenderedPageBreak/>
        <w:t>Обращение в суд также дает надежду на сохранение хотя бы части вложенных в ценные бумаги денег. Но стоит учитывать, что держатели облигаций являются кредиторами третьей очереди, то есть они могут рассчитывать на выплаты, только когда компания рассчитается по своим основным обязательствам - налоговым и коммунальным платежам, расходам на зарплаты и вознаграждение конкурсного управляющего.</w:t>
      </w:r>
    </w:p>
    <w:p w:rsidR="00B91DE6" w:rsidRPr="00F64CF5" w:rsidRDefault="00B91DE6" w:rsidP="00B91DE6">
      <w:r w:rsidRPr="00F64CF5">
        <w:t xml:space="preserve">В случае банкротства компании держатели облигаций с фиксированным купоном (утвержденной процентной ставкой) будут получать возмещение исходя из этой фиксированной доходности. Держатели облигаций, привязанных к ключевой ставке (флоатеров), должны быть готовы к тому, что в случае снижения ключевой ставки с момента объявления дефолта их выплаты также могут уменьшиться. Для защиты прав инвесторов существует представитель владельцев облигаций (ПВО) - это может быть брокер, банк, управляющая компания паевого либо акционерного инвестиционного фонда или </w:t>
      </w:r>
      <w:r w:rsidRPr="00F64CF5">
        <w:rPr>
          <w:b/>
        </w:rPr>
        <w:t>негосударственного пенсионного фонда</w:t>
      </w:r>
      <w:r w:rsidRPr="00F64CF5">
        <w:t>. ПВО контролирует выполнение эмитентом обязательств перед держателями облигаций и предупреждает о ситуации, когда инвесторы вправе потребовать досрочного погашения обязательств по выплате. ПВО заявляет к эмитенту требования от лица держателей бондов в случае его банкротства.</w:t>
      </w:r>
    </w:p>
    <w:p w:rsidR="00B91DE6" w:rsidRPr="00F64CF5" w:rsidRDefault="00B91DE6" w:rsidP="00B91DE6">
      <w:r w:rsidRPr="00F64CF5">
        <w:t>Инвестиции - это всегда риск, поэтому держатель облигаций должен контролировать свои вложения, оценивать финансовое состояние компании, следить за новостями и финансовой отчетностью, которую эмитент выкладывает в открытый доступ. Если кредитный рейтинг компании понижен или появилась информация о том, что эмитент испытывает трудности, нужно скорее избавляться от актива, не дожидаясь дефолта.</w:t>
      </w:r>
    </w:p>
    <w:p w:rsidR="00B91DE6" w:rsidRPr="00F64CF5" w:rsidRDefault="00B91DE6" w:rsidP="00B91DE6">
      <w:r w:rsidRPr="00F64CF5">
        <w:t>Начинающим инвесторам лучше вкладываться в облигации компаний с государственным участием, которые наименее подвержены дефолту, и выбирать тех эмитентов, имеющих рейтинг от ААА до А- по национальной шкале. По данным агентства «Эксперт РА», у компаний с рейтингом A- и выше дефолтов не было. Но доходность у таких ценных бумаг ниже, чем у более рисковых бондов.</w:t>
      </w:r>
    </w:p>
    <w:p w:rsidR="00B91DE6" w:rsidRPr="00F64CF5" w:rsidRDefault="00B91DE6" w:rsidP="00B91DE6">
      <w:r w:rsidRPr="00F64CF5">
        <w:t>Облигации со спекулятивным или «мусорным» рейтингом C и ниже приносят более высокий доход, но и несут в себе куда более серьезные риски для инвестора. Поэтому при формировании портфеля опытные инвесторы отдают предпочтение более надежным облигациям.</w:t>
      </w:r>
    </w:p>
    <w:p w:rsidR="00B91DE6" w:rsidRPr="00F64CF5" w:rsidRDefault="00B91DE6" w:rsidP="00B91DE6">
      <w:r w:rsidRPr="00F64CF5">
        <w:t>Признаки дефолта компании</w:t>
      </w:r>
    </w:p>
    <w:p w:rsidR="00B91DE6" w:rsidRPr="00F64CF5" w:rsidRDefault="00B91DE6" w:rsidP="00B91DE6">
      <w:r w:rsidRPr="00F64CF5">
        <w:t xml:space="preserve">Одним из самых явных признаков приближающегося дефолта является понижение кредитного рейтинга эмитента. Агентства, составляющие такие рейтинги, анализируют бухгалтерские данные эмитента и изменения в статусе компании. Информацию можно отслеживать по данным рейтинговых агентств Банка России: рейтингового агентства «Эксперт РА», Аналитического кредитного рейтингового агентства (АКРА), Национального рейтингового агентства (НРА) и Национальных кредитных рейтингов (НКР). Риски по облигациям компании обычно можно обнаружить за 3-6 месяцев до наступления дефолта по отчетам аналитиков рейтингового агентства, росту долговой нагрузки на эмитента и расхождениям в его финансовой отчетности. Также играют роль снижение спроса на продукцию компании или санкционное давление. В настоящее время наибольший риск дефолтов имеют эмитенты категории B. Наибольшему риску подвергаются компании, находящиеся под санкциями и имеющие </w:t>
      </w:r>
      <w:r w:rsidRPr="00F64CF5">
        <w:lastRenderedPageBreak/>
        <w:t>высокую долговую нагрузку, причем аналитики считают, что пик дефолтов еще не пройден.</w:t>
      </w:r>
    </w:p>
    <w:p w:rsidR="00B91DE6" w:rsidRPr="00F64CF5" w:rsidRDefault="00B91DE6" w:rsidP="00B91DE6">
      <w:r w:rsidRPr="00F64CF5">
        <w:t>При подготовке материала «Известия» беседовали с:</w:t>
      </w:r>
    </w:p>
    <w:p w:rsidR="00B91DE6" w:rsidRPr="00F64CF5" w:rsidRDefault="00B91DE6" w:rsidP="00B91DE6">
      <w:r w:rsidRPr="00F64CF5">
        <w:t>•</w:t>
      </w:r>
      <w:r w:rsidRPr="00F64CF5">
        <w:tab/>
        <w:t>экономистом, экспертом финансового рынка Андреем Бархотой;</w:t>
      </w:r>
    </w:p>
    <w:p w:rsidR="00B91DE6" w:rsidRPr="00F64CF5" w:rsidRDefault="00B91DE6" w:rsidP="00B91DE6">
      <w:r w:rsidRPr="00F64CF5">
        <w:t>•</w:t>
      </w:r>
      <w:r w:rsidRPr="00F64CF5">
        <w:tab/>
        <w:t>экономистом, финансовым экспертом Алексеем Родиным.</w:t>
      </w:r>
    </w:p>
    <w:p w:rsidR="0095325C" w:rsidRDefault="00000000" w:rsidP="00B91DE6">
      <w:pPr>
        <w:rPr>
          <w:rStyle w:val="Hyperlink"/>
        </w:rPr>
      </w:pPr>
      <w:hyperlink r:id="rId31" w:history="1">
        <w:r w:rsidR="00B91DE6" w:rsidRPr="00F64CF5">
          <w:rPr>
            <w:rStyle w:val="Hyperlink"/>
          </w:rPr>
          <w:t>https://iz.ru/1932874/2025-08-07/chto-delat-esli-po-obligatciiam-obiavlen-defolt-razbor</w:t>
        </w:r>
      </w:hyperlink>
    </w:p>
    <w:p w:rsidR="0072209B" w:rsidRPr="0072209B" w:rsidRDefault="0072209B" w:rsidP="0072209B">
      <w:pPr>
        <w:pStyle w:val="Heading2"/>
      </w:pPr>
      <w:bookmarkStart w:id="106" w:name="_Toc205532907"/>
      <w:r w:rsidRPr="0072209B">
        <w:t>Коммерсантъ</w:t>
      </w:r>
      <w:r w:rsidRPr="0072209B">
        <w:t xml:space="preserve">, </w:t>
      </w:r>
      <w:r w:rsidRPr="0072209B">
        <w:t>07.08.2025</w:t>
      </w:r>
      <w:r w:rsidRPr="0072209B">
        <w:t xml:space="preserve">, </w:t>
      </w:r>
      <w:r w:rsidRPr="0072209B">
        <w:t>Июль добавил к дефициту триллион</w:t>
      </w:r>
      <w:bookmarkEnd w:id="106"/>
    </w:p>
    <w:p w:rsidR="0072209B" w:rsidRPr="0072209B" w:rsidRDefault="0072209B" w:rsidP="0072209B">
      <w:pPr>
        <w:pStyle w:val="Heading3"/>
      </w:pPr>
      <w:bookmarkStart w:id="107" w:name="_Toc205532908"/>
      <w:r w:rsidRPr="0072209B">
        <w:t>Дефицит федерального бюджета за июль подрос еще на 1,2 трлн руб. и по итогам семи месяцев составил 4,9 трлн руб., превысив запланированный на весь год показатель. Бюджет по-прежнему недополучает нефтегазовые доходы, но из-за прироста остальных поступлений относительно прошлого года находится в небольшом плюсе. Расходы госказны растут заметно быстрее, чем доходы, но динамика этого увеличения стабильна. Превышение недавно уже увеличенного показателя дефицита делает неизбежной еще одну, уже осеннюю правку закона о бюджете.</w:t>
      </w:r>
      <w:bookmarkEnd w:id="107"/>
    </w:p>
    <w:p w:rsidR="0072209B" w:rsidRPr="0072209B" w:rsidRDefault="0072209B" w:rsidP="0072209B">
      <w:r w:rsidRPr="0072209B">
        <w:t>Доходы федерального бюджета по итогам января—июля составили 20,3 трлн руб., расходы — 25,2 трлн руб., сообщил в четверг, 7 августа, Минфин. В результате дефицит бюджета сложился в размере 4,9 трлн руб., или 2,2% ВВП. По итогам полугодия в процентах к размеру экономики он был заметно меньшим — 1,7% ВВП. В рублях показатель за июль прибавил 1,2 трлн руб. (отметим, в плюсе в этом году был только март).</w:t>
      </w:r>
    </w:p>
    <w:p w:rsidR="0072209B" w:rsidRPr="0072209B" w:rsidRDefault="0072209B" w:rsidP="0072209B">
      <w:r w:rsidRPr="0072209B">
        <w:t>Доходная часть бюджета по итогам семи месяцев относительно такого же периода прошлого года увеличилась на 2,8%. Этот скромный прирост обеспечен ненефтегазовыми поступлениям, которые прибавили 14% год к году, составив 14,8 трлн руб.</w:t>
      </w:r>
    </w:p>
    <w:p w:rsidR="0072209B" w:rsidRPr="0072209B" w:rsidRDefault="0072209B" w:rsidP="0072209B">
      <w:r w:rsidRPr="0072209B">
        <w:t>Главный вклад в эту часть доходов традиционно внес НДС (внутренний и при импорте), выросший год к году на 6,9%, до 7,8 трлн руб.</w:t>
      </w:r>
    </w:p>
    <w:p w:rsidR="0072209B" w:rsidRPr="0072209B" w:rsidRDefault="0072209B" w:rsidP="0072209B">
      <w:r w:rsidRPr="0072209B">
        <w:t>Налоговые же поступления от добычи и продажи нефти и газа упали на 18,5%, до 5,5 трлн руб.</w:t>
      </w:r>
    </w:p>
    <w:p w:rsidR="0072209B" w:rsidRPr="0072209B" w:rsidRDefault="0072209B" w:rsidP="0072209B">
      <w:r w:rsidRPr="0072209B">
        <w:t>Как и прежде, это объясняется прежде всего существенным снижением цены на нефть Urals и укреплением рубля (подробнее о нефтегазовых доходах см. “Ъ” от 6 августа).</w:t>
      </w:r>
    </w:p>
    <w:p w:rsidR="0072209B" w:rsidRPr="0072209B" w:rsidRDefault="0072209B" w:rsidP="0072209B">
      <w:r w:rsidRPr="0072209B">
        <w:t>Расходы федерального бюджета в январе—июле 2025 года к такому же периоду 2024-го увеличились значительно больше, чем доходы,— на 20,8%. Примерно такие темпы прироста трат, отметим, остаются неизменными с апреля — тогда они также составляли плюс 20,8% к сопоставимому периоду. В начале же года фиксировалось ускоренное финансирование расходов (в январе сразу плюс 64,1% год к году), связанное с оперативным заключением контрактов и авансами по «отдельным контрактуемым расходам». По завершении «периода авансов» на отрезке февраль—июль прирост трат к такому же периоду получается меньшим — 14,9%.</w:t>
      </w:r>
    </w:p>
    <w:p w:rsidR="0072209B" w:rsidRPr="0072209B" w:rsidRDefault="0072209B" w:rsidP="0072209B">
      <w:r w:rsidRPr="0072209B">
        <w:lastRenderedPageBreak/>
        <w:t>Сложившийся по итогам января—июля дефицит в 4,9 трлн руб. уже заметно превышает показатель, заложенный Минфином в принятой Госдумой в июне новой редакции действующего закона о бюджете. Тогда, напомним, расходная часть бюджета-2025 была увеличена на 2% — с 41,5 трлн до 42,3 трлн руб., а доходная (из-за падения нефтегазовых поступлений) напротив, снижена — с 40,3 трлн до 38,5 трлн руб., или на 4,5%.</w:t>
      </w:r>
    </w:p>
    <w:p w:rsidR="0072209B" w:rsidRPr="0072209B" w:rsidRDefault="0072209B" w:rsidP="0072209B">
      <w:r w:rsidRPr="0072209B">
        <w:t>Соответственно, почти втрое был увеличен плановый дефицит — с 1,2 трлн руб., или 0,5% ВВП, до 3,8 трлн руб., или 1,7% ВВП (подробнее об изменении параметров бюджета см. “Ъ” от 29 мая). Превышение и этого, исправленного показателя дефицита делает неизбежной еще одну, уже осеннюю правку закона о бюджете — впрочем, о том, что она состоится, министр финансов Антон Силуанов информировал Госдуму еще при первом его изменении.</w:t>
      </w:r>
    </w:p>
    <w:p w:rsidR="0072209B" w:rsidRPr="0072209B" w:rsidRDefault="0072209B" w:rsidP="0072209B">
      <w:r w:rsidRPr="0072209B">
        <w:t>Вадим Вислогузов</w:t>
      </w:r>
    </w:p>
    <w:p w:rsidR="00471E83" w:rsidRPr="0072209B" w:rsidRDefault="00471E83" w:rsidP="0072209B">
      <w:pPr>
        <w:pStyle w:val="Heading2"/>
        <w:rPr>
          <w:color w:val="0000FF"/>
          <w:u w:val="single"/>
        </w:rPr>
      </w:pPr>
      <w:bookmarkStart w:id="108" w:name="_Toc205532909"/>
      <w:r>
        <w:t>Ведомости</w:t>
      </w:r>
      <w:r w:rsidRPr="00471E83">
        <w:t>,</w:t>
      </w:r>
      <w:r>
        <w:t xml:space="preserve"> </w:t>
      </w:r>
      <w:r>
        <w:t>08.08.2025</w:t>
      </w:r>
      <w:r w:rsidRPr="00471E83">
        <w:t xml:space="preserve">, </w:t>
      </w:r>
      <w:r>
        <w:t>Минфин сообщил о продолжении роста ненефтегазовых доходов в январе – июле</w:t>
      </w:r>
      <w:bookmarkEnd w:id="108"/>
    </w:p>
    <w:p w:rsidR="00471E83" w:rsidRDefault="00471E83" w:rsidP="00471E83">
      <w:pPr>
        <w:pStyle w:val="Heading3"/>
      </w:pPr>
      <w:bookmarkStart w:id="109" w:name="_Toc205532910"/>
      <w:r>
        <w:t>Доходы федерального бюджета за первые семь месяцев 2025 г. выросли на 2,8% к прошлому году и составили 20,32 трлн руб. (52,78% от годового плана в 38,5 трлн руб.), следует из предварительных данных об исполнении бюджета, представленных Минфином 7 августа.</w:t>
      </w:r>
      <w:bookmarkEnd w:id="109"/>
    </w:p>
    <w:p w:rsidR="00471E83" w:rsidRDefault="00471E83" w:rsidP="00471E83">
      <w:r>
        <w:t>Ненефтегазовые доходы (ННГД) в январе - июле составили 14,79 трлн руб., что на 14% больше прошлогоднего показателя, пишет Минфин. По оценкам министерства, их динамика сейчас соответствует плановой траектории, заложенной в бюджетные параметры. Рост поступлений оборотных налогов, включая НДС, составил 6,7% по сравнению с аналогичным периодом прошлого года, указано в предварительных данных. Нефтегазовые доходы (НГД) ожидаемо отклонились от заложенного Минфином прогноза, снизившись на 18,5% до 5,52 трлн руб. преимущественно из-за снижения средней цены на нефть. Министерство при этом видит риск их дальнейшего уменьшения на фоне ослабления ценовой конъюнктуры.</w:t>
      </w:r>
    </w:p>
    <w:p w:rsidR="00471E83" w:rsidRDefault="00471E83" w:rsidP="00471E83">
      <w:r>
        <w:t>В апреле глава Минфина Антон Силуанов заявил, что действующая цена отсечения $60/барр. больше не "отвечает вызовам времени", а бюджетное правило необходимо донастроить "для минимизации внешних рисков". По его мнению, главной угрозой становится перспектива развертывания торговых войн и последующего снижения экспортных возможностей стран, в том числе России. Текущая ситуация в мире требует уделять особое внимание устойчивости государственных финансов к разным сценариям развития мировой экономики, подчеркнул Силуанов.</w:t>
      </w:r>
    </w:p>
    <w:p w:rsidR="00471E83" w:rsidRDefault="00471E83" w:rsidP="00471E83">
      <w:r>
        <w:t>С начала текущего года стоимость нефти планомерно снижалась. По данным Минэка, средняя цена 1 барр. нефти марки Urals с января по май упала с $67,6/барр. до $52,08/барр. В конце полугодия она выросла до $59,84/барр. В июле средняя цена составила $60,37/барр.</w:t>
      </w:r>
    </w:p>
    <w:p w:rsidR="00471E83" w:rsidRDefault="00471E83" w:rsidP="00471E83">
      <w:r>
        <w:t xml:space="preserve">Несмотря на общую положительную динамику поступлений, расходы казны увеличивались существенно быстрее и составили 25,2 трлн руб. (+20,8% к аналогичному периоду 2024 г.). По данным Минфина, они уже превышают половину от запланированных на год 42,3 трлн руб. (59,58%). Пик динамики исполнения расходов </w:t>
      </w:r>
      <w:r>
        <w:lastRenderedPageBreak/>
        <w:t>пришелся на январь (+64,1% г/г), после чего она замедлилась до +14,9% г/г в феврале - июле. Такое неравномерное распределение связано с оперативным заключением контрактов и авансированием по отдельным контрактуемым расходам, пишет министерство. При этом объем трат остается в рамках параметров, утвержденных в законе о бюджете, и размера дополнительных ННГД по нормам бюджетного правила, сообщает Минфин.</w:t>
      </w:r>
    </w:p>
    <w:p w:rsidR="00471E83" w:rsidRDefault="00471E83" w:rsidP="00471E83">
      <w:r>
        <w:t>За счет чего растут ННГД</w:t>
      </w:r>
    </w:p>
    <w:p w:rsidR="00471E83" w:rsidRDefault="00471E83" w:rsidP="00471E83">
      <w:r>
        <w:t>Рост ННГД в основном связан с изменением цен, потому что номинальные доходы очень сильно зависят от ценовой динамики, говорит директор Института народнохозяйственного прогнозирования РАН Александр Широв. При этом дополнительные ННГД все равно не смогут компенсировать недополученные поступления от нефтегаза, существенно изменить ситуацию сможет только ослабление курса рубля, отмечает он. По оценкам Широва, прошлогодние поправки в Налоговый кодекс дополнительно принесут в бюджет порядка 3,5 трлн руб., из которых на НДФЛ придется около 300-400 млрд.</w:t>
      </w:r>
    </w:p>
    <w:p w:rsidR="00471E83" w:rsidRDefault="00471E83" w:rsidP="00471E83">
      <w:r>
        <w:t>Поступления ННГД - это производная роста уровня цен в экономике и экономической активности, говорит главный экономист ВТБ Родион Латыпов. За первые семь месяцев текущего года и то и другое оказалось выше, чем за аналогичный период прошлого года, что и обусловило прирост этой категории доходов, поясняет он. По мнению Латыпова, наметившийся в прошлом году тренд на повышение НДФЛ сохранится в основном за счет роста ставок с текущего года.</w:t>
      </w:r>
    </w:p>
    <w:p w:rsidR="00471E83" w:rsidRDefault="00471E83" w:rsidP="00471E83">
      <w:r>
        <w:t>Размер дефицита</w:t>
      </w:r>
    </w:p>
    <w:p w:rsidR="00471E83" w:rsidRDefault="00471E83" w:rsidP="00471E83">
      <w:r>
        <w:t>Дефицит бюджета по итогам января - июля составил 4,88 трлн руб. (2,2% от ВВП), что на 3,78 трлн руб. больше показателя аналогичного периода прошлого года, сообщает Минфин. Таким образом, текущий дефицит превысил установленный в законе о бюджете на 2025-2027 гг. размер (3,79 трлн руб., или 1,7% ВВП), который был увеличен весной в 3 раза с 1,17 трлн руб. (0,5% ВВП).</w:t>
      </w:r>
    </w:p>
    <w:p w:rsidR="00471E83" w:rsidRDefault="00471E83" w:rsidP="00471E83">
      <w:r>
        <w:t>Осенью Минфин планирует внести на рассмотрение в Госдуму второй блок поправок к действующему закону о бюджете, писали "Ведомости" 6 августа. Корректировки будут "соответствовать складывающейся макроэкономической ситуации и приоритетам проводимой государством социально-экономической политики", пояснял представитель министерства, подчеркивая, что сейчас преждевременно говорить о конкретных значениях корректировок.</w:t>
      </w:r>
    </w:p>
    <w:p w:rsidR="00471E83" w:rsidRDefault="00471E83" w:rsidP="00471E83">
      <w:r>
        <w:t>За аналогичный период прошлого года дефицит бюджета составил всего 1,09 трлн руб., т. е. в 4,4 раза меньше, чем сейчас, отмечает руководитель отдела макроэкономического анализа ФГ "Финам" Ольга Беленькая. Ситуация с исполнением бюджета в этом году складывается напряженно из-за неблагоприятного сочетания низких цен на российскую нефть, крепкого рубля, высоких процентных ставок, замедления роста экономики и высоких темпов роста бюджетных расходов, указывает она.</w:t>
      </w:r>
    </w:p>
    <w:p w:rsidR="00471E83" w:rsidRDefault="00471E83" w:rsidP="00471E83">
      <w:r>
        <w:t xml:space="preserve">Размер дефицита по итогам года может существенно вырасти, отмечало большинство экспертов, ранее опрошенных "Ведомостями". По их оценкам, после осенних корректировок он составит около 5 трлн руб. Снижение базовой величины НГД может привести к уменьшению бюджетных расходов или расширению допустимого первичного структурного дефицита бюджета, пояснял эксперт Центра </w:t>
      </w:r>
      <w:r>
        <w:lastRenderedPageBreak/>
        <w:t>макроэкономического анализа и краткосрочного прогнозирования Эмиль Аблаев. Он также напомнил, что весенние поправки не содержали пересмотра расходов на обслуживание государственного долга. Сейчас они установлены на уровне 3,2 трлн руб. До конца года они могут вырасти до 4 трлн руб., предупреждал эксперт.</w:t>
      </w:r>
    </w:p>
    <w:p w:rsidR="00471E83" w:rsidRDefault="00471E83" w:rsidP="00471E83">
      <w:r>
        <w:t>Риск пересмотра плана по доходам на 2025 г. за счет их нефтегазовой части достаточно велик, считает старший директор группы суверенных и региональных рейтингов АКРА Дмитрий Куликов. При этом в начале года план перевыполнялся, поэтому дефицит в конечном итоге может быть пересмотрен вверх не так уж сильно - до уровня чуть выше 2% ВВП, добавляет он.</w:t>
      </w:r>
    </w:p>
    <w:p w:rsidR="00471E83" w:rsidRDefault="00471E83" w:rsidP="00471E83">
      <w:r>
        <w:t>Ксения Котченко, Дарья Мосолкина</w:t>
      </w:r>
    </w:p>
    <w:p w:rsidR="00F461AB" w:rsidRPr="00F64CF5" w:rsidRDefault="00F461AB" w:rsidP="00F461AB">
      <w:pPr>
        <w:pStyle w:val="Heading2"/>
      </w:pPr>
      <w:bookmarkStart w:id="110" w:name="_Toc205532911"/>
      <w:r w:rsidRPr="00F64CF5">
        <w:t>РИА Новости, 07.08.2025, Дефицит бюджета РФ в январе-июле достиг 4,88 трлн руб, превысив 1,7% ВВП в законе - Минфин</w:t>
      </w:r>
      <w:bookmarkEnd w:id="110"/>
    </w:p>
    <w:p w:rsidR="00F461AB" w:rsidRPr="00F64CF5" w:rsidRDefault="00F461AB" w:rsidP="00623EE5">
      <w:pPr>
        <w:pStyle w:val="Heading3"/>
      </w:pPr>
      <w:bookmarkStart w:id="111" w:name="_Toc205532912"/>
      <w:r w:rsidRPr="00F64CF5">
        <w:t>Дефицит федерального бюджета по итогам января-июля 2025 года, по предварительной оценке, составил 4,88 триллиона рублей, или 2,2% ВВП, превысив заложенный уровень в законе о бюджете в 1,7% ВВП на конец года, говорится в материалах на сайте Минфина России.</w:t>
      </w:r>
      <w:bookmarkEnd w:id="111"/>
    </w:p>
    <w:p w:rsidR="00F461AB" w:rsidRPr="00F64CF5" w:rsidRDefault="00F461AB" w:rsidP="00F461AB">
      <w:r w:rsidRPr="00F64CF5">
        <w:t>"По итогам января-июля 2025 года федеральный бюджет сложился с дефицитом в размере 4 879 млрд рублей, что на -3 780 млрд рублей ниже уровня аналогичного периода прошлого года", - говорится в материалах.</w:t>
      </w:r>
    </w:p>
    <w:p w:rsidR="00F461AB" w:rsidRPr="00F64CF5" w:rsidRDefault="00F461AB" w:rsidP="00F461AB">
      <w:r w:rsidRPr="00F64CF5">
        <w:t>Согласно представленной таблице, дефицит федерального бюджета по итогам января-июля составил 2,2% ВВП. Уровень дефицита в 2025 году, утвержденный в законе о бюджете, составляет 3,7 триллиона рублей, или 1,7% ВВП.</w:t>
      </w:r>
    </w:p>
    <w:p w:rsidR="00F461AB" w:rsidRPr="00F64CF5" w:rsidRDefault="00F461AB" w:rsidP="00F461AB">
      <w:r w:rsidRPr="00F64CF5">
        <w:t>"Это, главным образом, обусловлено опережающим финансированием расходов в январе текущего года, а также снижением поступлений нефтегазовых доходов, однако не повлияет на исполнение целевых параметров структурного баланса на 2025 год в целом", - поясняет Минфин.</w:t>
      </w:r>
    </w:p>
    <w:p w:rsidR="00F461AB" w:rsidRPr="00F64CF5" w:rsidRDefault="00F461AB" w:rsidP="00F461AB">
      <w:r w:rsidRPr="00F64CF5">
        <w:t>Так, по предварительной оценке, объем доходов федерального бюджета в январе-июле 2025 года составил 20,315 триллиона рублей, что на 2,8% выше объема поступления доходов в соответствующем периоде 2024 года. При этом в части поступления ключевых ненефтегазовых доходов как федерального бюджета (+14%), так и бюджетной системы в целом (+11%), наблюдается устойчивая положительная динамика, отмечает Минфин.</w:t>
      </w:r>
    </w:p>
    <w:p w:rsidR="00F461AB" w:rsidRPr="00F64CF5" w:rsidRDefault="00F461AB" w:rsidP="00F461AB">
      <w:r w:rsidRPr="00F64CF5">
        <w:t>Объем расходов федерального бюджета по итогам января-июля 2025 года составил 25,194 триллиона рублей, что выше уровня предыдущего года на 20,8%.</w:t>
      </w:r>
    </w:p>
    <w:p w:rsidR="00F461AB" w:rsidRPr="00F64CF5" w:rsidRDefault="00F461AB" w:rsidP="00F461AB">
      <w:r w:rsidRPr="00F64CF5">
        <w:t>"Динамика исполнения расходов федерального бюджета замедлилась с февраля (+14,9% г/г в феврале-июле) после ускоренного финансирования расходов в январе 2025 года (+64,1% г/г), связанного с оперативным заключением контрактов и авансированием финансирования по отдельным контрактуемым расходам", - говорится в материалах.</w:t>
      </w:r>
    </w:p>
    <w:p w:rsidR="00F461AB" w:rsidRPr="00F64CF5" w:rsidRDefault="00F461AB" w:rsidP="00F461AB">
      <w:r w:rsidRPr="00F64CF5">
        <w:lastRenderedPageBreak/>
        <w:t>Президент России Владимир Путин в июне подписал закон о корректировке параметров федерального бюджета на 2025 год. Согласно закону, доходы федерального бюджета сокращаются до 38,506 триллиона рублей (17,4% ВВП) с 40,296 триллиона (18,8% ВВП), а расходы увеличиваются до 42,298 триллиона рублей (19,1% ВВП) с 41,469 триллиона (19,3% ВВП). Таким образом, дефицит бюджета увеличивается до 1,7% с 0,5% ВВП.</w:t>
      </w:r>
    </w:p>
    <w:p w:rsidR="00F461AB" w:rsidRPr="00F64CF5" w:rsidRDefault="00F461AB" w:rsidP="00F461AB">
      <w:pPr>
        <w:pStyle w:val="Heading2"/>
      </w:pPr>
      <w:bookmarkStart w:id="112" w:name="_Toc205532913"/>
      <w:r w:rsidRPr="00F64CF5">
        <w:t>РИА Новости, 07.08.2025, Нефтегазовые доходы бюджета РФ в январе-июле снизились на 18,5% - Минфин</w:t>
      </w:r>
      <w:bookmarkEnd w:id="112"/>
    </w:p>
    <w:p w:rsidR="00F461AB" w:rsidRPr="00F64CF5" w:rsidRDefault="00F461AB" w:rsidP="00623EE5">
      <w:pPr>
        <w:pStyle w:val="Heading3"/>
      </w:pPr>
      <w:bookmarkStart w:id="113" w:name="_Toc205532914"/>
      <w:r w:rsidRPr="00F64CF5">
        <w:t>Нефтегазовые доходы бюджета России в январе-июле снизились на 18,5% - до 5,522 триллиона рублей, а ненефтегазовые - выросли на 14%, до 14,793 триллиона рублей, сообщает Минфин РФ.</w:t>
      </w:r>
      <w:bookmarkEnd w:id="113"/>
    </w:p>
    <w:p w:rsidR="00F461AB" w:rsidRPr="00F64CF5" w:rsidRDefault="00F461AB" w:rsidP="00F461AB">
      <w:r w:rsidRPr="00F64CF5">
        <w:t>"Нефтегазовые доходы составили 5 522 млрд рублей, что меньше показателей аналогичного периода предыдущего года (на 18,5% г/г) преимущественно вследствие снижения средней цены на нефть", - говорится в материалах на сайте министерства.</w:t>
      </w:r>
    </w:p>
    <w:p w:rsidR="00F461AB" w:rsidRPr="00F64CF5" w:rsidRDefault="00F461AB" w:rsidP="00F461AB">
      <w:r w:rsidRPr="00F64CF5">
        <w:t>Уточняется, что поступление нефтегазовых доходов в январе-июле текущего года при этом сложилось на уровне, превышающем их базовый размер, однако "существуют риски их снижения вследствие ослабления ценовой конъюнктуры".</w:t>
      </w:r>
    </w:p>
    <w:p w:rsidR="00F461AB" w:rsidRPr="00F64CF5" w:rsidRDefault="00F461AB" w:rsidP="00F461AB">
      <w:r w:rsidRPr="00F64CF5">
        <w:t>Накопление дополнительных нефтегазовых доходов в периоды благоприятной ценовой конъюнктуры и использование средств ФНБ на покрытие недополученных нефтегазовых доходов в соответствии с параметрами "бюджетного правила" обеспечивает устойчивость бюджетной системы к колебаниям в поступлении нефтегазовых доходов, указали в Минфине.</w:t>
      </w:r>
    </w:p>
    <w:p w:rsidR="00F461AB" w:rsidRPr="00F64CF5" w:rsidRDefault="00F461AB" w:rsidP="00F461AB">
      <w:r w:rsidRPr="00F64CF5">
        <w:t>"Ненефтегазовые доходы федерального бюджета составили 14 793 млрд рублей (+14,0% г/г), что соответствует плановой траектории. Рост поступлений оборотных налогов, включая НДС, в январе-июле составил 6,7% по сравнению с аналогичным периодом прошлого года", - отмечается в материалах.</w:t>
      </w:r>
    </w:p>
    <w:p w:rsidR="00F461AB" w:rsidRPr="00F64CF5" w:rsidRDefault="00F461AB" w:rsidP="00F461AB">
      <w:pPr>
        <w:pStyle w:val="Heading2"/>
      </w:pPr>
      <w:bookmarkStart w:id="114" w:name="_Toc205532915"/>
      <w:r w:rsidRPr="00F64CF5">
        <w:t>РИА Новости, 07.08.2025, Ненефтегазовые доходы бюджета РФ за январь - июль выросли на 14%, до 14,79 трлн рублей</w:t>
      </w:r>
      <w:bookmarkEnd w:id="114"/>
    </w:p>
    <w:p w:rsidR="00F461AB" w:rsidRPr="00F64CF5" w:rsidRDefault="00F461AB" w:rsidP="00623EE5">
      <w:pPr>
        <w:pStyle w:val="Heading3"/>
      </w:pPr>
      <w:bookmarkStart w:id="115" w:name="_Toc205532916"/>
      <w:r w:rsidRPr="00F64CF5">
        <w:t>Ненефтегазовые доходы российского бюджета за январь - июль 2025 года увеличились на 14% по сравнению с аналогичным периодом прошлого года, до 14,79 трлн рублей, сообщается в материалах на сайте Минфина.</w:t>
      </w:r>
      <w:bookmarkEnd w:id="115"/>
    </w:p>
    <w:p w:rsidR="00F461AB" w:rsidRPr="00F64CF5" w:rsidRDefault="00F461AB" w:rsidP="00F461AB">
      <w:r w:rsidRPr="00F64CF5">
        <w:t>"Ненефтегазовые доходы федерального бюджета составили 14 793 млрд рублей (+14% г/г), что соответствует плановой траектории. Рост поступлений оборотных налогов, включая НДС, в январе - июле составил 6,7% по сравнению с аналогичным периодом прошлого года", - говорится в сообщении.</w:t>
      </w:r>
    </w:p>
    <w:p w:rsidR="00B91DE6" w:rsidRPr="00F64CF5" w:rsidRDefault="00F461AB" w:rsidP="00F461AB">
      <w:r w:rsidRPr="00F64CF5">
        <w:t>В Минфине также отметили, что в части поступления ключевых ненефтегазовых доходов как федерального бюджета, так и бюджетной системы в целом наблюдается устойчивая положительная динамика.</w:t>
      </w:r>
    </w:p>
    <w:p w:rsidR="00F461AB" w:rsidRPr="00F64CF5" w:rsidRDefault="00F461AB" w:rsidP="00F461AB"/>
    <w:p w:rsidR="00111D7C" w:rsidRPr="00F64CF5" w:rsidRDefault="00111D7C" w:rsidP="00111D7C">
      <w:pPr>
        <w:pStyle w:val="251"/>
      </w:pPr>
      <w:bookmarkStart w:id="116" w:name="_Toc99271712"/>
      <w:bookmarkStart w:id="117" w:name="_Toc99318658"/>
      <w:bookmarkStart w:id="118" w:name="_Toc165991078"/>
      <w:bookmarkStart w:id="119" w:name="_Toc205532917"/>
      <w:bookmarkEnd w:id="100"/>
      <w:bookmarkEnd w:id="101"/>
      <w:r w:rsidRPr="00F64CF5">
        <w:lastRenderedPageBreak/>
        <w:t>НОВОСТИ ЗАРУБЕЖНЫХ ПЕНСИОННЫХ СИСТЕМ</w:t>
      </w:r>
      <w:bookmarkEnd w:id="116"/>
      <w:bookmarkEnd w:id="117"/>
      <w:bookmarkEnd w:id="118"/>
      <w:bookmarkEnd w:id="119"/>
    </w:p>
    <w:p w:rsidR="00111D7C" w:rsidRPr="00F64CF5" w:rsidRDefault="00111D7C" w:rsidP="00111D7C">
      <w:pPr>
        <w:pStyle w:val="Heading1"/>
      </w:pPr>
      <w:bookmarkStart w:id="120" w:name="_Toc99271713"/>
      <w:bookmarkStart w:id="121" w:name="_Toc99318659"/>
      <w:bookmarkStart w:id="122" w:name="_Toc165991079"/>
      <w:bookmarkStart w:id="123" w:name="_Toc205532918"/>
      <w:r w:rsidRPr="00F64CF5">
        <w:t>Новости пенсионной отрасли стран ближнего зарубежья</w:t>
      </w:r>
      <w:bookmarkEnd w:id="120"/>
      <w:bookmarkEnd w:id="121"/>
      <w:bookmarkEnd w:id="122"/>
      <w:bookmarkEnd w:id="123"/>
    </w:p>
    <w:p w:rsidR="00250639" w:rsidRPr="00F64CF5" w:rsidRDefault="00250639" w:rsidP="00250639">
      <w:pPr>
        <w:pStyle w:val="Heading2"/>
      </w:pPr>
      <w:bookmarkStart w:id="124" w:name="_Toc205532919"/>
      <w:r w:rsidRPr="00F64CF5">
        <w:t>Караван, 07.08.2025, Пенсионные накопления тают: куда уходят миллиарды казахстанцев?</w:t>
      </w:r>
      <w:bookmarkEnd w:id="124"/>
    </w:p>
    <w:p w:rsidR="00250639" w:rsidRPr="00F64CF5" w:rsidRDefault="00250639" w:rsidP="00623EE5">
      <w:pPr>
        <w:pStyle w:val="Heading3"/>
      </w:pPr>
      <w:bookmarkStart w:id="125" w:name="_Toc205532920"/>
      <w:r w:rsidRPr="00F64CF5">
        <w:t>В Казахстане фиксируется новая волна активности по изъятию пенсионных накоплений – и речь уже не о временном всплеске, а о масштабной тенденции. Жители страны все чаще используют накопленные средства для решения жилищных и медицинских проблем. Эксперты объясняют это как накопленным спросом, так и низким доверием к системе в части доходности. При этом сама система остается устойчивой, а выбор – шире, чем кажется. Подробнее – в материале Caravan.kz.</w:t>
      </w:r>
      <w:bookmarkEnd w:id="125"/>
    </w:p>
    <w:p w:rsidR="00250639" w:rsidRPr="00F64CF5" w:rsidRDefault="00250639" w:rsidP="00250639">
      <w:r w:rsidRPr="00F64CF5">
        <w:t>Масштабы изъятий: цифры и тренды</w:t>
      </w:r>
    </w:p>
    <w:p w:rsidR="00250639" w:rsidRPr="00F64CF5" w:rsidRDefault="00250639" w:rsidP="00250639">
      <w:r w:rsidRPr="00F64CF5">
        <w:t>Согласно данным ЕНПФ, в июле 2025 года было исполнено 110,9 тысячи заявлений на использование пенсионных накоплений с целью улучшения жилищных условий. Это:</w:t>
      </w:r>
    </w:p>
    <w:p w:rsidR="00250639" w:rsidRPr="00F64CF5" w:rsidRDefault="00250639" w:rsidP="00250639">
      <w:r w:rsidRPr="00F64CF5">
        <w:t xml:space="preserve">    на 33 % больше, чем в июне;</w:t>
      </w:r>
    </w:p>
    <w:p w:rsidR="00250639" w:rsidRPr="00F64CF5" w:rsidRDefault="00250639" w:rsidP="00250639">
      <w:r w:rsidRPr="00F64CF5">
        <w:t xml:space="preserve">    на 82 % больше среднемесячного показателя за первое полугодие;</w:t>
      </w:r>
    </w:p>
    <w:p w:rsidR="00250639" w:rsidRPr="00F64CF5" w:rsidRDefault="00250639" w:rsidP="00250639">
      <w:r w:rsidRPr="00F64CF5">
        <w:t xml:space="preserve">    и в 2,7 раза выше, чем в июле прошлого года, когда начался бум изъятий.</w:t>
      </w:r>
    </w:p>
    <w:p w:rsidR="00250639" w:rsidRPr="00F64CF5" w:rsidRDefault="00250639" w:rsidP="00250639">
      <w:r w:rsidRPr="00F64CF5">
        <w:t>Суммарно на эти цели направлено 56,2 млрд тенге – рост составил 29 % к июню и 34 % по сравнению со средним значением полугодия. Однако средняя сумма на одно заявление упала почти вдвое – с 1,1 млн тенге год назад до 507 тыс. тенге сейчас.</w:t>
      </w:r>
    </w:p>
    <w:p w:rsidR="00250639" w:rsidRPr="00F64CF5" w:rsidRDefault="00250639" w:rsidP="00250639">
      <w:r w:rsidRPr="00F64CF5">
        <w:t>Большинство изъятий связано с жильем: люди либо пополняют вклад в системе жилстройсбережений, либо гасят часть ипотеки. Эти два направления составляют 90 % всех заявлений.</w:t>
      </w:r>
    </w:p>
    <w:p w:rsidR="00250639" w:rsidRPr="00F64CF5" w:rsidRDefault="00250639" w:rsidP="00250639">
      <w:r w:rsidRPr="00F64CF5">
        <w:t>Аналогичная динамика и в сфере лечения. В июле исполнено 66,9 тыс. заявлений – на 67 % больше, чем в июне, и в 3,2 раза выше, чем год назад. Общая сумма выплат – 51,9 млрд тенге. Средний чек упал на 36 % по сравнению с прошлым годом и составил 776 тыс. тенге.</w:t>
      </w:r>
    </w:p>
    <w:p w:rsidR="00250639" w:rsidRPr="00F64CF5" w:rsidRDefault="00250639" w:rsidP="00250639">
      <w:r w:rsidRPr="00F64CF5">
        <w:t>Почему накопления тают: мнение эксперта</w:t>
      </w:r>
    </w:p>
    <w:p w:rsidR="00250639" w:rsidRPr="00F64CF5" w:rsidRDefault="00250639" w:rsidP="00250639">
      <w:r w:rsidRPr="00F64CF5">
        <w:t>По данным на 1 июня 2025 года, пенсионные накопления казахстанцев достигли 22,9 трлн тенге. Из них 4,6 трлн тенге находятся во внешнем управлении. При этом чистый инвестдоход за первые пять месяцев оказался отрицательным – минус 152 млрд тенге, что может вызвать волну недовольства в обществе.</w:t>
      </w:r>
    </w:p>
    <w:p w:rsidR="00250639" w:rsidRPr="00F64CF5" w:rsidRDefault="00250639" w:rsidP="00250639">
      <w:r w:rsidRPr="00F64CF5">
        <w:t>Экономист Руслан Султанов считает, что важно понимать природу ЕНПФ:</w:t>
      </w:r>
    </w:p>
    <w:p w:rsidR="00250639" w:rsidRPr="00F64CF5" w:rsidRDefault="00250639" w:rsidP="00250639">
      <w:r w:rsidRPr="00F64CF5">
        <w:lastRenderedPageBreak/>
        <w:t>«ЕНПФ – не венчурный фонд, он консервативный по своей сути. Ключевая задача фонда – сохранять, а не максимизировать».</w:t>
      </w:r>
    </w:p>
    <w:p w:rsidR="00250639" w:rsidRPr="00F64CF5" w:rsidRDefault="00250639" w:rsidP="00250639">
      <w:r w:rsidRPr="00F64CF5">
        <w:t>Он подчеркивает, что структура активов вполне ожидаема:</w:t>
      </w:r>
    </w:p>
    <w:p w:rsidR="00250639" w:rsidRPr="00F64CF5" w:rsidRDefault="00250639" w:rsidP="00250639">
      <w:r w:rsidRPr="00F64CF5">
        <w:t xml:space="preserve">    44 % – государственные бумаги РК,</w:t>
      </w:r>
    </w:p>
    <w:p w:rsidR="00250639" w:rsidRPr="00F64CF5" w:rsidRDefault="00250639" w:rsidP="00250639">
      <w:r w:rsidRPr="00F64CF5">
        <w:t xml:space="preserve">    15 % – суверенные облигации других стран,</w:t>
      </w:r>
    </w:p>
    <w:p w:rsidR="00250639" w:rsidRPr="00F64CF5" w:rsidRDefault="00250639" w:rsidP="00250639">
      <w:r w:rsidRPr="00F64CF5">
        <w:t xml:space="preserve">    14 % – бумаги казахстанских компаний,</w:t>
      </w:r>
    </w:p>
    <w:p w:rsidR="00250639" w:rsidRPr="00F64CF5" w:rsidRDefault="00250639" w:rsidP="00250639">
      <w:r w:rsidRPr="00F64CF5">
        <w:t xml:space="preserve">    20 % – внешнее доверительное управление.</w:t>
      </w:r>
    </w:p>
    <w:p w:rsidR="00250639" w:rsidRPr="00F64CF5" w:rsidRDefault="00250639" w:rsidP="00250639">
      <w:r w:rsidRPr="00F64CF5">
        <w:t>Тем, кто ищет большую доходность, эксперт предлагает обратить внимание на альтернативу:</w:t>
      </w:r>
    </w:p>
    <w:p w:rsidR="00250639" w:rsidRPr="00F64CF5" w:rsidRDefault="00250639" w:rsidP="00250639">
      <w:r w:rsidRPr="00F64CF5">
        <w:t>«Хотите больше доходности? Инструменты уже есть. В добровольном пенсионном сегменте уже 62,3 млрд тенге в частных управляющих компаниях. Это не массовая история – пока. Но это путь к персонализации накоплений: можно выбирать стратегию, оценивать доходность, менять управляющего».</w:t>
      </w:r>
    </w:p>
    <w:p w:rsidR="00250639" w:rsidRPr="00F64CF5" w:rsidRDefault="00250639" w:rsidP="00250639">
      <w:r w:rsidRPr="00F64CF5">
        <w:t>Система работает, но не все ею пользуются</w:t>
      </w:r>
    </w:p>
    <w:p w:rsidR="00250639" w:rsidRPr="00F64CF5" w:rsidRDefault="00250639" w:rsidP="00250639">
      <w:r w:rsidRPr="00F64CF5">
        <w:t>По словам Султанова, пенсионная система Казахстана остается устойчивой:</w:t>
      </w:r>
    </w:p>
    <w:p w:rsidR="00250639" w:rsidRPr="00F64CF5" w:rsidRDefault="00250639" w:rsidP="00250639">
      <w:r w:rsidRPr="00F64CF5">
        <w:t>«Надо помнить, что пенсионные активы – это долгосрочные инвестиции. Их эффективность можно оценивать только за год и более. Но что важно – в системе уже есть выбор, деньги и инфраструктура. Проблема не в том, что ничего не работает. Проблема в том, что многие просто не пользуются тем, что уже разрешено».</w:t>
      </w:r>
    </w:p>
    <w:p w:rsidR="00250639" w:rsidRPr="00F64CF5" w:rsidRDefault="00250639" w:rsidP="00250639">
      <w:r w:rsidRPr="00F64CF5">
        <w:t>То есть в руках граждан уже есть инструменты – но пользоваться ими готовы далеко не все.</w:t>
      </w:r>
    </w:p>
    <w:p w:rsidR="00111D7C" w:rsidRPr="00F64CF5" w:rsidRDefault="00000000" w:rsidP="00250639">
      <w:hyperlink r:id="rId32" w:history="1">
        <w:r w:rsidR="00250639" w:rsidRPr="00F64CF5">
          <w:rPr>
            <w:rStyle w:val="Hyperlink"/>
          </w:rPr>
          <w:t>https://www.caravan.kz/analytics/pensionnye-nakoplenija-tajut-kuda-uhodjat-milliardy-kazahstancev/</w:t>
        </w:r>
      </w:hyperlink>
    </w:p>
    <w:p w:rsidR="00250639" w:rsidRPr="00F64CF5" w:rsidRDefault="00250639" w:rsidP="00250639"/>
    <w:p w:rsidR="00111D7C" w:rsidRDefault="00111D7C" w:rsidP="00111D7C">
      <w:pPr>
        <w:pStyle w:val="Heading1"/>
      </w:pPr>
      <w:bookmarkStart w:id="126" w:name="_Toc99271715"/>
      <w:bookmarkStart w:id="127" w:name="_Toc99318660"/>
      <w:bookmarkStart w:id="128" w:name="_Toc165991080"/>
      <w:bookmarkStart w:id="129" w:name="_Toc205532921"/>
      <w:r w:rsidRPr="00F64CF5">
        <w:t>Новости пенсионной отрасли стран дальнего зарубежья</w:t>
      </w:r>
      <w:bookmarkEnd w:id="126"/>
      <w:bookmarkEnd w:id="127"/>
      <w:bookmarkEnd w:id="128"/>
      <w:bookmarkEnd w:id="129"/>
    </w:p>
    <w:p w:rsidR="00CE5DB2" w:rsidRDefault="00CE5DB2" w:rsidP="00CE5DB2">
      <w:pPr>
        <w:pStyle w:val="Heading2"/>
      </w:pPr>
      <w:bookmarkStart w:id="130" w:name="_Toc205532922"/>
      <w:r>
        <w:t>РИА Новости, 07.08.2025, Трамп разрешил инвестировать пенсионные накопления в США в криптовалюту и частные фонды</w:t>
      </w:r>
      <w:bookmarkEnd w:id="130"/>
    </w:p>
    <w:p w:rsidR="00CE5DB2" w:rsidRDefault="00CE5DB2" w:rsidP="00623EE5">
      <w:pPr>
        <w:pStyle w:val="Heading3"/>
      </w:pPr>
      <w:bookmarkStart w:id="131" w:name="_Toc205532923"/>
      <w:r>
        <w:t>Президент США Дональд Трамп подписал указ, открывающий доступ пенсионных накоплений американцев в системе 401(k) к инвестициям в криптовалюту, частный капитал и другие альтернативные активы, включая недвижимость, пишет в четверг газета Financial Times со ссылкой на неназванных представителей администрации.</w:t>
      </w:r>
      <w:bookmarkEnd w:id="131"/>
    </w:p>
    <w:p w:rsidR="00CE5DB2" w:rsidRDefault="00CE5DB2" w:rsidP="00CE5DB2">
      <w:r>
        <w:t xml:space="preserve">Согласно документу, федеральные регулирующие органы должны пересмотреть и разъяснить действующие нормы, чтобы допустить такие инвестиции в управляемые профессиональными фондами пенсионные портфели . Сейчас более 90 миллионов </w:t>
      </w:r>
      <w:r>
        <w:lastRenderedPageBreak/>
        <w:t>американцев используют 401(k) для долгосрочных вложений до выхода на пенсию, и их средства традиционно направляются в акции, облигации и индексные фонды.</w:t>
      </w:r>
    </w:p>
    <w:p w:rsidR="00CE5DB2" w:rsidRDefault="00CE5DB2" w:rsidP="00CE5DB2">
      <w:r>
        <w:t>Решение может на практике кардинально изменить структуру пенсионных инвестиций в США, подчеркнули в Белом доме. Ожидается, что это создаст мощный приток капитала в индустрию частного капитала и усилит интеграцию цифровых активов в американскую финансовую систему. "Для сторонников децентрализованных финансов это - знаковый шаг к признанию криптовалют на высшем уровне", - говорится в публикации.</w:t>
      </w:r>
    </w:p>
    <w:p w:rsidR="00CE5DB2" w:rsidRDefault="00CE5DB2" w:rsidP="00CE5DB2">
      <w:r>
        <w:t>Однако вместе с расширением возможностей для инвесторов возрастут и риски. Как отмечает FT, в отличие от традиционных бумаг, криптовалюта и частные фонды часто отличаются низкой ликвидностью, высокими комиссиями и использованием заемных средств. Кроме того, цифровые активы остаются крайне волатильными и подверженными резким колебаниям стоимости.</w:t>
      </w:r>
    </w:p>
    <w:p w:rsidR="00CE5DB2" w:rsidRDefault="00CE5DB2" w:rsidP="00CE5DB2">
      <w:r>
        <w:t>По данным издания, интерес Трампа к этой теме подкрепляется личной вовлеченностью - его семья владеет значительными долями в компаниях, инвестирующих миллиарды долларов в криптовалютные проекты. Некоторые чиновники в Вашингтоне признались, что именно включение цифровых активов позволило инициативе получить "окончательное одобрение" со стороны президента.</w:t>
      </w:r>
    </w:p>
    <w:p w:rsidR="00CE5DB2" w:rsidRPr="00CE5DB2" w:rsidRDefault="00CE5DB2" w:rsidP="00CE5DB2">
      <w:r>
        <w:t>"Маловероятно, что сам рынок частного капитала смог бы протолкнуть этот шаг без криптовалютного элемента. В нынешнем Вашингтоне цифровые активы гораздо популярнее традиционных схем вложений", - приводит FT слова одного из советников Трампа на условиях анонимности.</w:t>
      </w:r>
    </w:p>
    <w:p w:rsidR="00B91DE6" w:rsidRPr="00F64CF5" w:rsidRDefault="00B91DE6" w:rsidP="00B91DE6">
      <w:pPr>
        <w:pStyle w:val="Heading2"/>
      </w:pPr>
      <w:bookmarkStart w:id="132" w:name="_Toc205532924"/>
      <w:r w:rsidRPr="00F64CF5">
        <w:t>Crypto News, 07.08.2025, Подписание закона о доступе к криптовалютам для пенсионных фондов США спровоцировало рост цен на рынке</w:t>
      </w:r>
      <w:bookmarkEnd w:id="132"/>
    </w:p>
    <w:p w:rsidR="00B91DE6" w:rsidRPr="00F64CF5" w:rsidRDefault="00B91DE6" w:rsidP="00623EE5">
      <w:pPr>
        <w:pStyle w:val="Heading3"/>
      </w:pPr>
      <w:bookmarkStart w:id="133" w:name="_Toc205532925"/>
      <w:r w:rsidRPr="00F64CF5">
        <w:t>После заявления президента Дональда Трампа о готовности разрешить пенсионным фондам 401(k) инвестировать в криптовалюты, котировки цифровых активов пошли вверх. Менее чем за 2 часа после новости курс Bitcoin (BTC) вырос до $116 611, прибавив 2,03%, Ethereum подорожал на 5,42% и достиг $3819, а XRP укрепился на 4,39%, поднявшись до $3,08.</w:t>
      </w:r>
      <w:bookmarkEnd w:id="133"/>
    </w:p>
    <w:p w:rsidR="00B91DE6" w:rsidRPr="00F64CF5" w:rsidRDefault="00B91DE6" w:rsidP="00B91DE6">
      <w:r w:rsidRPr="00F64CF5">
        <w:t>Рынок позитивно отреагировал на инициативу Белого дома о доступе пенсионных накоплений к альтернативным активам, включая криптовалюты, частный капитал и недвижимость. По мнению аналитиков, это решение не только откроет новый источник ликвидности, но и придаст крипторынку институциональное признание со стороны государства.</w:t>
      </w:r>
    </w:p>
    <w:p w:rsidR="00B91DE6" w:rsidRPr="00F64CF5" w:rsidRDefault="00B91DE6" w:rsidP="00B91DE6">
      <w:r w:rsidRPr="00F64CF5">
        <w:t>Рост наблюдается не только по ведущим монетам, но и по другим активам: цена Solana (SOL) выросла на 5,46% до $173,29, Dogecoin (DOGE) прибавила 6,15%, поднявшись до $0.2137, а курс Cardano (ADA) укрепился на 5,21%. Участники рынка связывают происходящее с ожиданиями, что пенсионные фонды США вскоре смогут направлять многомиллиардные объемы средств в криптовалюты.</w:t>
      </w:r>
    </w:p>
    <w:p w:rsidR="00B91DE6" w:rsidRPr="00F64CF5" w:rsidRDefault="00B91DE6" w:rsidP="00B91DE6">
      <w:r w:rsidRPr="00F64CF5">
        <w:lastRenderedPageBreak/>
        <w:t>Ранее Комиссия по ценным бумагам и биржам США (SEC) выступала против интеграции цифровых активов в пенсионные программы. Однако новая инициатива главы страны Дональда Трампа может изменить нормативную повестку и ускорить институционализацию крипторынка. Это станет серьезным сдвигом в подходе властей к регулированию.</w:t>
      </w:r>
    </w:p>
    <w:p w:rsidR="00B91DE6" w:rsidRPr="00F64CF5" w:rsidRDefault="00B91DE6" w:rsidP="00B91DE6">
      <w:r w:rsidRPr="00F64CF5">
        <w:t>Эксперты считают, что приток пенсионных денег создаст долгосрочную поддержку котировкам криптовалют и уменьшит их волатильность. По мнению многочисленных исследователей, подобные инвестиции обычно носят консервативный и стратегический характер, что сделает рынок более устойчивым.</w:t>
      </w:r>
    </w:p>
    <w:p w:rsidR="00B91DE6" w:rsidRPr="00F64CF5" w:rsidRDefault="00000000" w:rsidP="00B91DE6">
      <w:hyperlink r:id="rId33" w:history="1">
        <w:r w:rsidR="00B91DE6" w:rsidRPr="00F64CF5">
          <w:rPr>
            <w:rStyle w:val="Hyperlink"/>
          </w:rPr>
          <w:t>https://cryptonews.net/ru/news/analytics/31393941/</w:t>
        </w:r>
      </w:hyperlink>
      <w:r w:rsidR="00B91DE6" w:rsidRPr="00F64CF5">
        <w:t xml:space="preserve"> </w:t>
      </w:r>
    </w:p>
    <w:p w:rsidR="006224C3" w:rsidRPr="00F64CF5" w:rsidRDefault="006224C3" w:rsidP="006224C3">
      <w:pPr>
        <w:pStyle w:val="Heading2"/>
      </w:pPr>
      <w:bookmarkStart w:id="134" w:name="_Toc205532926"/>
      <w:bookmarkEnd w:id="96"/>
      <w:r w:rsidRPr="00F64CF5">
        <w:t>БКС Экспресс, 07.08.2025, Пенсионные фонды скупают биткойн</w:t>
      </w:r>
      <w:bookmarkEnd w:id="134"/>
    </w:p>
    <w:p w:rsidR="006224C3" w:rsidRPr="00F64CF5" w:rsidRDefault="006224C3" w:rsidP="00623EE5">
      <w:pPr>
        <w:pStyle w:val="Heading3"/>
      </w:pPr>
      <w:bookmarkStart w:id="135" w:name="_Toc205532927"/>
      <w:r w:rsidRPr="00F64CF5">
        <w:t>Биткойн отскакивает от апрельской трендовой — намечается очередная волна роста. Американские компании и пенсионные фонды наращивают покупки криптовалют. Чего ждать в ближайшие дни?</w:t>
      </w:r>
      <w:bookmarkEnd w:id="135"/>
    </w:p>
    <w:p w:rsidR="006224C3" w:rsidRPr="00F64CF5" w:rsidRDefault="006224C3" w:rsidP="006224C3">
      <w:r w:rsidRPr="00F64CF5">
        <w:t>В регулярной серии материалов разбираем динамику фьючерсов с привязкой к цене криптовалют и основные события на крипторынке.</w:t>
      </w:r>
    </w:p>
    <w:p w:rsidR="006224C3" w:rsidRPr="00F64CF5" w:rsidRDefault="006224C3" w:rsidP="006224C3">
      <w:r w:rsidRPr="00F64CF5">
        <w:t>Технический расклад</w:t>
      </w:r>
    </w:p>
    <w:p w:rsidR="006224C3" w:rsidRPr="00F64CF5" w:rsidRDefault="006224C3" w:rsidP="006224C3">
      <w:r w:rsidRPr="00F64CF5">
        <w:t>В среду фьючерс на акции IBIT прибавил 1,22%, закрывшись по $67,04 на вечерней сессии. Объем торгов — 410 млн руб. Сегодня фьючерс в плюсе на 1,2% и торгуется на $67,9.</w:t>
      </w:r>
    </w:p>
    <w:p w:rsidR="006224C3" w:rsidRPr="00F64CF5" w:rsidRDefault="006224C3" w:rsidP="006224C3">
      <w:r w:rsidRPr="00F64CF5">
        <w:t>Базовый актив в среду вырос на 1,49%, закрывшись по $65,51. Совокупный объем торгов BTC ETF был средним и составил $2,4 млрд. Сегодня на премаркете акции прибавляют 1%, достигая $66,2.</w:t>
      </w:r>
    </w:p>
    <w:p w:rsidR="006224C3" w:rsidRPr="00F64CF5" w:rsidRDefault="006224C3" w:rsidP="006224C3">
      <w:r w:rsidRPr="00F64CF5">
        <w:t>Краткосрочная картина</w:t>
      </w:r>
    </w:p>
    <w:p w:rsidR="006224C3" w:rsidRPr="00F64CF5" w:rsidRDefault="006224C3" w:rsidP="006224C3">
      <w:r w:rsidRPr="00F64CF5">
        <w:t>История у фьючерсного контракта пока недолгая — анализ лучше строить на основе динамики базового актива.</w:t>
      </w:r>
    </w:p>
    <w:p w:rsidR="006224C3" w:rsidRPr="00F64CF5" w:rsidRDefault="006224C3" w:rsidP="006224C3">
      <w:r w:rsidRPr="00F64CF5">
        <w:t>• Акции IBIT в среду планомерно росли в цене с момента открытия.</w:t>
      </w:r>
    </w:p>
    <w:p w:rsidR="006224C3" w:rsidRPr="00F64CF5" w:rsidRDefault="006224C3" w:rsidP="006224C3">
      <w:r w:rsidRPr="00F64CF5">
        <w:t>• Дневная свеча является бычьей. Продолжает восходящую динамику, которую задал пинбар днем ранее.</w:t>
      </w:r>
    </w:p>
    <w:p w:rsidR="006224C3" w:rsidRPr="00F64CF5" w:rsidRDefault="006224C3" w:rsidP="006224C3">
      <w:r w:rsidRPr="00F64CF5">
        <w:t>• Во вторник акции протестировали апрельскую наклонную, но выстояли и пошли в отскок. Это позитивный сигнал, который закладывает фундамент для развития очередной волны роста.</w:t>
      </w:r>
    </w:p>
    <w:p w:rsidR="006224C3" w:rsidRPr="00F64CF5" w:rsidRDefault="006224C3" w:rsidP="006224C3">
      <w:r w:rsidRPr="00F64CF5">
        <w:t>• Ближайшая цель на рост — в районе $120 тыс. по BTC, что примерно соответствует району $68,5 для ETF. Краткосрочно заминка может возникнуть в районе $116 тыс., соотносимо уровню $65,77 для акций — здесь находится первое локальное сопротивление.</w:t>
      </w:r>
    </w:p>
    <w:p w:rsidR="006224C3" w:rsidRPr="00F64CF5" w:rsidRDefault="006224C3" w:rsidP="006224C3">
      <w:r w:rsidRPr="00F64CF5">
        <w:t>• Локальная перекупленность актива была снята, но амплитуда просадки не достигла и 10%. Это немного для биткойна, поскольку зачастую во время бычьего рынка могут происходить снижения на 20–30%. Среднесрочно актив остается достаточно дорогим.</w:t>
      </w:r>
    </w:p>
    <w:p w:rsidR="006224C3" w:rsidRPr="00F64CF5" w:rsidRDefault="006224C3" w:rsidP="006224C3">
      <w:r w:rsidRPr="00F64CF5">
        <w:lastRenderedPageBreak/>
        <w:t>• Четыре дня продолжались оттоки из BTC ETF, вчера негативный стрик был прерван. В Ethereum это произошло на два дня раньше. Локально вторая по капитализации валюта пока выглядит сильнее.</w:t>
      </w:r>
    </w:p>
    <w:p w:rsidR="006224C3" w:rsidRPr="00F64CF5" w:rsidRDefault="006224C3" w:rsidP="006224C3">
      <w:r w:rsidRPr="00F64CF5">
        <w:t>• Последняя закрытая недельная свеча в BTC едва вышла за контур предыдущей свечи своим телом. Видна тень снизу. Полноценный сигнал к коррекции не сформировался.</w:t>
      </w:r>
    </w:p>
    <w:p w:rsidR="006224C3" w:rsidRPr="00F64CF5" w:rsidRDefault="006224C3" w:rsidP="006224C3">
      <w:r w:rsidRPr="00F64CF5">
        <w:t>Уровни сопротивления: 65,77 / 69,46 / 71,5</w:t>
      </w:r>
    </w:p>
    <w:p w:rsidR="006224C3" w:rsidRPr="00F64CF5" w:rsidRDefault="006224C3" w:rsidP="006224C3">
      <w:r w:rsidRPr="00F64CF5">
        <w:t>Уровни поддержки: 63,7 / 59,83 / 56,63</w:t>
      </w:r>
    </w:p>
    <w:p w:rsidR="006224C3" w:rsidRPr="00F64CF5" w:rsidRDefault="006224C3" w:rsidP="006224C3">
      <w:r w:rsidRPr="00F64CF5">
        <w:t>Состояние рынка и внешний фон</w:t>
      </w:r>
    </w:p>
    <w:p w:rsidR="006224C3" w:rsidRPr="00F64CF5" w:rsidRDefault="006224C3" w:rsidP="006224C3">
      <w:r w:rsidRPr="00F64CF5">
        <w:t>Индекс S&amp;P 500 в среду вырос на 0,73%, сегодня фьючерс на индекс в плюсе на 0,6%. Биткойн в тот день вырос на 0,76%, а сегодня в плюсе на 1,2%. Золото в среду скорректировалось на 0,36%, сегодня актив в плюсе на 0,3%.</w:t>
      </w:r>
    </w:p>
    <w:p w:rsidR="006224C3" w:rsidRPr="00F64CF5" w:rsidRDefault="006224C3" w:rsidP="006224C3">
      <w:r w:rsidRPr="00F64CF5">
        <w:t>• Индекс «Страха и жадности» — 62 (жадность).</w:t>
      </w:r>
    </w:p>
    <w:p w:rsidR="006224C3" w:rsidRPr="00F64CF5" w:rsidRDefault="006224C3" w:rsidP="006224C3">
      <w:r w:rsidRPr="00F64CF5">
        <w:t>• Суммарный приток в BTC ETF за 6 августа — $91 млн (низкий).</w:t>
      </w:r>
    </w:p>
    <w:p w:rsidR="006224C3" w:rsidRPr="00F64CF5" w:rsidRDefault="006224C3" w:rsidP="006224C3">
      <w:r w:rsidRPr="00F64CF5">
        <w:t>Ключевые события</w:t>
      </w:r>
    </w:p>
    <w:p w:rsidR="006224C3" w:rsidRPr="00F64CF5" w:rsidRDefault="006224C3" w:rsidP="006224C3">
      <w:r w:rsidRPr="00F64CF5">
        <w:t>На внутреннем контуре:</w:t>
      </w:r>
    </w:p>
    <w:p w:rsidR="006224C3" w:rsidRPr="00F64CF5" w:rsidRDefault="006224C3" w:rsidP="006224C3">
      <w:r w:rsidRPr="00F64CF5">
        <w:t>• Отчет ЦБ РФ: Число криптомошенников в РФ увеличивается. За I полугодие 2025 г. выявлено 4183 субъекта с признаками нелегальной деятельности на финансовом рынке. Это на 20% больше, чем годом ранее. Более 1000 из этих проектов гарантировали доход от инвестиций в криптовалюту. 2328 проектов являлись финансовыми пирамидами и 80% из них принимали взносы в криптовалюте.</w:t>
      </w:r>
    </w:p>
    <w:p w:rsidR="006224C3" w:rsidRPr="00F64CF5" w:rsidRDefault="006224C3" w:rsidP="006224C3">
      <w:r w:rsidRPr="00F64CF5">
        <w:t>На внешнем контуре:</w:t>
      </w:r>
    </w:p>
    <w:p w:rsidR="006224C3" w:rsidRPr="00F64CF5" w:rsidRDefault="006224C3" w:rsidP="006224C3">
      <w:r w:rsidRPr="00F64CF5">
        <w:t>• Пенсионный фонд штата Мичиган нарастил инвестиции в биткойн ETF за II квартал практически в 3 раза (со 110 тыс. акций до 300 тыс.) Общий объем инвестиций превысил $10 млн. Как правило, пенсионные фонды являются долгосрочными держателями активов. Ранее мы отмечали, что в среднесрочной перспективе объем вложений в криптовалюту этими финансовыми институтами будет увеличиваться. Среднесрочно это позитив.</w:t>
      </w:r>
    </w:p>
    <w:p w:rsidR="006224C3" w:rsidRPr="00F64CF5" w:rsidRDefault="006224C3" w:rsidP="006224C3">
      <w:r w:rsidRPr="00F64CF5">
        <w:t>• Cosmos Health с листингом на NASDAQ объявила о принятии treasury-стратегии — компания приобретет Ethereum на $300 млн. Наряду с этим Parataxis Holdings произвела слияние с SPAC с целью вложить $640 млн в Bitcoin.</w:t>
      </w:r>
    </w:p>
    <w:p w:rsidR="006224C3" w:rsidRPr="00F64CF5" w:rsidRDefault="006224C3" w:rsidP="006224C3">
      <w:r w:rsidRPr="00F64CF5">
        <w:t>Трежери-компании</w:t>
      </w:r>
    </w:p>
    <w:p w:rsidR="006224C3" w:rsidRPr="00F64CF5" w:rsidRDefault="006224C3" w:rsidP="006224C3">
      <w:r w:rsidRPr="00F64CF5">
        <w:t>(От англ. treasury — казна, сокровищница.) Компании, которые покупают криптовалюту в качестве стратегического (резервного) актива.</w:t>
      </w:r>
    </w:p>
    <w:p w:rsidR="006224C3" w:rsidRPr="00F64CF5" w:rsidRDefault="006224C3" w:rsidP="006224C3">
      <w:r w:rsidRPr="00F64CF5">
        <w:t>• Институциональные инвесторы активно покупают Ethereum — объем транзакций во второй криптовалюте обновляет годовые максимумы.</w:t>
      </w:r>
    </w:p>
    <w:p w:rsidR="006224C3" w:rsidRPr="00F64CF5" w:rsidRDefault="006224C3" w:rsidP="006224C3">
      <w:r w:rsidRPr="00F64CF5">
        <w:t>Новые криптоинструменты</w:t>
      </w:r>
    </w:p>
    <w:p w:rsidR="006224C3" w:rsidRPr="00F64CF5" w:rsidRDefault="006224C3" w:rsidP="006224C3">
      <w:r w:rsidRPr="00F64CF5">
        <w:t>БКС расширяет линейку уникальных продуктов</w:t>
      </w:r>
    </w:p>
    <w:p w:rsidR="006224C3" w:rsidRPr="00F64CF5" w:rsidRDefault="006224C3" w:rsidP="006224C3">
      <w:r w:rsidRPr="00F64CF5">
        <w:t xml:space="preserve">Квалифицированные инвесторы могут зарабатывать с помощью новых производных финансовых инструментов на биткойн, эфир и два ETF¹, доходность которых зависит </w:t>
      </w:r>
      <w:r w:rsidRPr="00F64CF5">
        <w:lastRenderedPageBreak/>
        <w:t>от динамики биткойна. Клиенты БКС Форекс имеют возможность инвестировать в эти активы без их прямой покупки и без рисков блокировки. Доступны сделки с плечом.</w:t>
      </w:r>
    </w:p>
    <w:p w:rsidR="006224C3" w:rsidRPr="00F64CF5" w:rsidRDefault="006224C3" w:rsidP="006224C3">
      <w:r w:rsidRPr="00F64CF5">
        <w:t xml:space="preserve">Клиентам с квалификацией стали доступны два иностранных биржевых фонда: ETF ProShares Bitcoin ETF (BITO) и ETF Valkyrie Bitcoin Strategy (BTF). </w:t>
      </w:r>
    </w:p>
    <w:p w:rsidR="006224C3" w:rsidRPr="00F64CF5" w:rsidRDefault="006224C3" w:rsidP="006224C3">
      <w:r w:rsidRPr="00F64CF5">
        <w:t>Что это за фонды?</w:t>
      </w:r>
    </w:p>
    <w:p w:rsidR="006224C3" w:rsidRPr="00F64CF5" w:rsidRDefault="006224C3" w:rsidP="006224C3">
      <w:r w:rsidRPr="00F64CF5">
        <w:t>• BITO стал первым в США биржевым фондом, предоставившим возможность получать доход от инвестиций во фьючерсы на биткойн.  • BTF также инвестирует во фьючерсные контракты на биткойн, при этом часть средств вкладывает в консервативные активы: гособлигации США, фонды денежного рынка и корпоративные облигации.</w:t>
      </w:r>
    </w:p>
    <w:p w:rsidR="006224C3" w:rsidRPr="00F64CF5" w:rsidRDefault="006224C3" w:rsidP="006224C3">
      <w:r w:rsidRPr="00F64CF5">
        <w:t>Инвестирование в криптовалюту не осуществляется, поставка базового актива не предусмотрена условиями продуктов. Комиссия за сделки с инструментами, где базовыми активами являются биткойн и эфир, не взимается.</w:t>
      </w:r>
    </w:p>
    <w:p w:rsidR="006224C3" w:rsidRPr="00F64CF5" w:rsidRDefault="006224C3" w:rsidP="006224C3">
      <w:r w:rsidRPr="00F64CF5">
        <w:t>Сделки с производными инструментами на биткойн и эфир доступны на стандартных счетах форекс, а покупка ETF — на счетах CFD.</w:t>
      </w:r>
    </w:p>
    <w:p w:rsidR="006224C3" w:rsidRPr="00F64CF5" w:rsidRDefault="006224C3" w:rsidP="006224C3">
      <w:r w:rsidRPr="00F64CF5">
        <w:t>БКС еще в начале весны предоставил квалифицированным инвесторам возможность зарабатывать на росте криптовалюты без риска блокировки активов и без их прямой покупки с помощью контрактов CFD на рынке форекс (сontracts for difference², контракт на разницу цен). В целом на данный момент доступно более 50 иностранных акций и 14 ETF из разных отраслей, а в числе наиболее популярных у инвесторов с момента запуска CFD оказались Coinbase и MicroStrategy, то есть сектор криптовалюты. Примерно за три весенних месяца ценные бумаги Coinbase прибавили почти 45%, а MicroStrategy — более 50%. Первая компания — американская платформа для обмена криптовалютами, а вторая инвестирует в биткойны.</w:t>
      </w:r>
    </w:p>
    <w:p w:rsidR="006224C3" w:rsidRPr="00F64CF5" w:rsidRDefault="006224C3" w:rsidP="006224C3">
      <w:r w:rsidRPr="00F64CF5">
        <w:t>Об инструменте</w:t>
      </w:r>
    </w:p>
    <w:p w:rsidR="006224C3" w:rsidRPr="00F64CF5" w:rsidRDefault="006224C3" w:rsidP="006224C3">
      <w:r w:rsidRPr="00F64CF5">
        <w:t>• IBIT-9.25 (IBU5) — актуальный расчетный сентябрьский фьючерс на акции iShares Bitcoin Trust ETF от компании BlackRock, который отслеживает динамику биткойна.</w:t>
      </w:r>
    </w:p>
    <w:p w:rsidR="006224C3" w:rsidRPr="00F64CF5" w:rsidRDefault="006224C3" w:rsidP="006224C3">
      <w:r w:rsidRPr="00F64CF5">
        <w:t>• ETHA-9.25 (ETU5) — актуальный расчетный сентябрьский фьючерс на акции iShares Ethereum Trust ETF от компании BlackRock, который отслеживает динамику эфириума.</w:t>
      </w:r>
    </w:p>
    <w:p w:rsidR="006224C3" w:rsidRPr="00F64CF5" w:rsidRDefault="006224C3" w:rsidP="006224C3">
      <w:r w:rsidRPr="00F64CF5">
        <w:t>• Инструменты лишены инфраструктурных рисков. Поставка базовых активов (биткойна и эфириума) не происходит.</w:t>
      </w:r>
    </w:p>
    <w:p w:rsidR="006224C3" w:rsidRPr="00F64CF5" w:rsidRDefault="006224C3" w:rsidP="006224C3">
      <w:r w:rsidRPr="00F64CF5">
        <w:t>• Инструменты доступны для квалифицированных инвесторов. Торговать ими можно привычным образом: в приложении «БКС Мир инвестиций» и личном кабинете веб-версии.</w:t>
      </w:r>
    </w:p>
    <w:p w:rsidR="006224C3" w:rsidRPr="00F64CF5" w:rsidRDefault="006224C3" w:rsidP="006224C3">
      <w:r w:rsidRPr="00F64CF5">
        <w:t>• Котировки отображаются в долларах США, однако расчеты производятся в рублях.</w:t>
      </w:r>
    </w:p>
    <w:p w:rsidR="006224C3" w:rsidRPr="00F64CF5" w:rsidRDefault="006224C3" w:rsidP="006224C3">
      <w:r w:rsidRPr="00F64CF5">
        <w:t>• Размер минимального гарантированного обеспечения (ГО) составляет около 1400 руб. (~30% от цены контракта) для IBIT и от 920 до 1820 руб. для ETHA в зависимости от категории уровня риска (при цене контракта в 2120 руб.).</w:t>
      </w:r>
    </w:p>
    <w:p w:rsidR="006224C3" w:rsidRPr="00F64CF5" w:rsidRDefault="006224C3" w:rsidP="006224C3">
      <w:r w:rsidRPr="00F64CF5">
        <w:t>Почему именно эти ETF?</w:t>
      </w:r>
    </w:p>
    <w:p w:rsidR="006224C3" w:rsidRPr="00F64CF5" w:rsidRDefault="006224C3" w:rsidP="006224C3">
      <w:r w:rsidRPr="00F64CF5">
        <w:t xml:space="preserve">• IBIT стал самым быстрорастущим фондом за всю историю фондового рынка. Всего за год он смог привлечь от инвесторов свыше $60 млрд капитала. • ETHA является самым </w:t>
      </w:r>
      <w:r w:rsidRPr="00F64CF5">
        <w:lastRenderedPageBreak/>
        <w:t>торгуемым ETF на эфириум со средним дневным объемом торгов в сотни миллионов долларов. • Провайдером фондов выступает крупнейшая управляющая компания в мире — BlackRock в сотрудничестве с криптобиржей Coinbase.</w:t>
      </w:r>
    </w:p>
    <w:p w:rsidR="006224C3" w:rsidRPr="00F64CF5" w:rsidRDefault="006224C3" w:rsidP="006224C3">
      <w:r w:rsidRPr="00F64CF5">
        <w:t>Как разобраться в криптовалютном рынке, если вокруг столько мифов и противоречивой информации? Смотрите трансляцию онлайн-конференции «Возможности инвестиций в криптовалюту: разбираемся без хайпа».</w:t>
      </w:r>
    </w:p>
    <w:p w:rsidR="00CA32BC" w:rsidRDefault="00000000" w:rsidP="006224C3">
      <w:pPr>
        <w:rPr>
          <w:rStyle w:val="Hyperlink"/>
        </w:rPr>
      </w:pPr>
      <w:hyperlink r:id="rId34" w:history="1">
        <w:r w:rsidR="006224C3" w:rsidRPr="00F64CF5">
          <w:rPr>
            <w:rStyle w:val="Hyperlink"/>
          </w:rPr>
          <w:t>https://bcs-express.ru/novosti-i-analitika/pensionnye-fondy-skupaiut-bitkoin</w:t>
        </w:r>
      </w:hyperlink>
    </w:p>
    <w:p w:rsidR="002B37FD" w:rsidRDefault="002B37FD" w:rsidP="002B37FD">
      <w:pPr>
        <w:pStyle w:val="Heading2"/>
      </w:pPr>
      <w:bookmarkStart w:id="136" w:name="_Toc205532928"/>
      <w:r>
        <w:t>Sostav.Ru, 08.08.2025</w:t>
      </w:r>
      <w:r w:rsidRPr="002B37FD">
        <w:t xml:space="preserve">, </w:t>
      </w:r>
      <w:r>
        <w:t>Крипта в пенсиях: США готовится вкладывать триллионы в BTC. А в России такое вообще возможно?</w:t>
      </w:r>
      <w:bookmarkEnd w:id="136"/>
    </w:p>
    <w:p w:rsidR="002B37FD" w:rsidRDefault="002B37FD" w:rsidP="002B37FD">
      <w:pPr>
        <w:pStyle w:val="Heading3"/>
      </w:pPr>
      <w:bookmarkStart w:id="137" w:name="_Toc205532929"/>
      <w:r>
        <w:t>7 августа стало известно, что Дональд Трамп подпишет указ о включении криптовалют в пенсионные накопления американцев по системе 401(k). Это более $12,5 триллионов инвестиций, которые теперь смогут частично идти в BTC, ETH, частные компании и даже недвижимость.</w:t>
      </w:r>
      <w:bookmarkEnd w:id="137"/>
    </w:p>
    <w:p w:rsidR="002B37FD" w:rsidRDefault="002B37FD" w:rsidP="002B37FD">
      <w:r>
        <w:t>Для крипторынка - это исторический момент. Но у многих сразу возникает вопрос: а могло бы нечто подобное когда-либо произойти в России?</w:t>
      </w:r>
    </w:p>
    <w:p w:rsidR="002B37FD" w:rsidRDefault="002B37FD" w:rsidP="002B37FD">
      <w:r>
        <w:t>· є Россия и крипта: путь запретов и осторожных разрешений</w:t>
      </w:r>
    </w:p>
    <w:p w:rsidR="002B37FD" w:rsidRDefault="002B37FD" w:rsidP="002B37FD">
      <w:r>
        <w:t>На фоне криптооптимизма США российский подход к цифровым активам выглядит максимально сдержанным. С 2020 года крипта в России официально признана имуществом, но:</w:t>
      </w:r>
    </w:p>
    <w:p w:rsidR="002B37FD" w:rsidRDefault="002B37FD" w:rsidP="002B37FD">
      <w:r>
        <w:t>- запрещено использовать её как платёжное средство - за выпуск «незарегистрированных» цифровых активов предусмотрена ответственность - государственные пенсионные фонды (ПФР, НПФ) подчиняются строгим инвестиционным регламентам, где даже вложения в акции регулируются, не говоря уже о криптовалютах</w:t>
      </w:r>
    </w:p>
    <w:p w:rsidR="002B37FD" w:rsidRDefault="002B37FD" w:rsidP="002B37FD">
      <w:r>
        <w:t>Добавим сюда высокую волатильность, отсутствие чёткой налоговой модели и опасения регуляторов насчёт оттока капитала - и получим картину, где включение крипты в пенсионные стратегии выглядит почти фантастикой.</w:t>
      </w:r>
    </w:p>
    <w:p w:rsidR="002B37FD" w:rsidRDefault="002B37FD" w:rsidP="002B37FD">
      <w:r>
        <w:t>­ Но всё не так однозначно</w:t>
      </w:r>
    </w:p>
    <w:p w:rsidR="002B37FD" w:rsidRDefault="002B37FD" w:rsidP="002B37FD">
      <w:r>
        <w:t>Несмотря на жёсткий подход, Россия активно разрабатывает собственную инфраструктуру: - тестирует цифровой рубль - запускает регуляторные песочницы для блокчейн-проектов - обсуждает возможности трансграничных крипторасчётов</w:t>
      </w:r>
    </w:p>
    <w:p w:rsidR="002B37FD" w:rsidRDefault="002B37FD" w:rsidP="002B37FD">
      <w:r>
        <w:t>То есть сам факт интереса к технологии - есть. Просто внедрение идёт не с позиции свободы инвестора, как в США, а с позиции контроля государства.</w:t>
      </w:r>
    </w:p>
    <w:p w:rsidR="002B37FD" w:rsidRDefault="002B37FD" w:rsidP="002B37FD">
      <w:r>
        <w:t>Вероятнее всего, если в России и появится крипта в пенсионных или квазигосударственных инструментах, это будет либо:</w:t>
      </w:r>
    </w:p>
    <w:p w:rsidR="002B37FD" w:rsidRDefault="002B37FD" w:rsidP="002B37FD">
      <w:r>
        <w:t>1.</w:t>
      </w:r>
      <w:r>
        <w:tab/>
        <w:t>Тесно связано с цифровым рублём,</w:t>
      </w:r>
    </w:p>
    <w:p w:rsidR="002B37FD" w:rsidRDefault="002B37FD" w:rsidP="002B37FD">
      <w:r>
        <w:t>2.</w:t>
      </w:r>
      <w:r>
        <w:tab/>
        <w:t>Либо в рамках «закрытых» корпоративных программ,</w:t>
      </w:r>
    </w:p>
    <w:p w:rsidR="002B37FD" w:rsidRDefault="002B37FD" w:rsidP="002B37FD">
      <w:r>
        <w:lastRenderedPageBreak/>
        <w:t>3.</w:t>
      </w:r>
      <w:r>
        <w:tab/>
        <w:t>Либо под жёстким регулированием - с ограничениями по активам, платформам и объёмам.</w:t>
      </w:r>
    </w:p>
    <w:p w:rsidR="002B37FD" w:rsidRDefault="002B37FD" w:rsidP="002B37FD">
      <w:r>
        <w:t>¬ Что это значит для обычного пользователя?</w:t>
      </w:r>
    </w:p>
    <w:p w:rsidR="002B37FD" w:rsidRDefault="002B37FD" w:rsidP="002B37FD">
      <w:r>
        <w:t>Пока в США крипта входит в пенсионные стратегии, у нас она остаётся альтернативным инструментом. Но это не значит, что ей нельзя пользоваться эффективно уже сейчас.</w:t>
      </w:r>
    </w:p>
    <w:p w:rsidR="002B37FD" w:rsidRDefault="002B37FD" w:rsidP="002B37FD">
      <w:r>
        <w:t>Например, если вам нужно просто: - обналичить USDT - купить крипту под нужды бизнеса или личные цели - перевести активы без лишних вопросов</w:t>
      </w:r>
    </w:p>
    <w:p w:rsidR="002B37FD" w:rsidRDefault="002B37FD" w:rsidP="002B37FD">
      <w:hyperlink r:id="rId35" w:history="1">
        <w:r w:rsidRPr="0056523B">
          <w:rPr>
            <w:rStyle w:val="Hyperlink"/>
          </w:rPr>
          <w:t>https://www.sostav.ru/blogs/282926/65628</w:t>
        </w:r>
      </w:hyperlink>
      <w:r w:rsidRPr="002B37FD">
        <w:t xml:space="preserve"> </w:t>
      </w:r>
    </w:p>
    <w:p w:rsidR="002B37FD" w:rsidRDefault="002B37FD" w:rsidP="002B37FD">
      <w:pPr>
        <w:pStyle w:val="Heading2"/>
      </w:pPr>
      <w:bookmarkStart w:id="138" w:name="_Toc205532930"/>
      <w:r>
        <w:t>Первое студенческое агенство, 07.08.2025</w:t>
      </w:r>
      <w:r w:rsidRPr="002B37FD">
        <w:t xml:space="preserve">, </w:t>
      </w:r>
      <w:r>
        <w:t>Трансгендерных* военнослужащих ВВС США лишат пенсий при увольнении</w:t>
      </w:r>
      <w:bookmarkEnd w:id="138"/>
    </w:p>
    <w:p w:rsidR="002B37FD" w:rsidRDefault="002B37FD" w:rsidP="002B37FD">
      <w:pPr>
        <w:pStyle w:val="Heading3"/>
      </w:pPr>
      <w:bookmarkStart w:id="139" w:name="_Toc205532931"/>
      <w:r>
        <w:t>В четверг, 7 августа, командование американских ВВС заявило, что откажут всем трансгендерным* военнослужащим, прослужившим от 15 до 18 лет, в досрочном выходе на пенсию, уволив их вместо этого без пенсионного обеспечения, сообщает информационное агентство Associated Press.</w:t>
      </w:r>
      <w:bookmarkEnd w:id="139"/>
    </w:p>
    <w:p w:rsidR="002B37FD" w:rsidRDefault="002B37FD" w:rsidP="002B37FD">
      <w:r>
        <w:t>Такое решение командования ВВС означает, что трансгендеры*, прослужившие указанные сроки в военной авиации, теперь будут вынуждены выбирать между единовременной выплатой при увольнении, положенной младшим офицерам либо просто увольнением со службы.</w:t>
      </w:r>
    </w:p>
    <w:p w:rsidR="002B37FD" w:rsidRDefault="002B37FD" w:rsidP="002B37FD">
      <w:r>
        <w:t>Представитель ВВС сообщил агентству, что «хотя военнослужащим, прослужившим от 15 до 18 лет с честью, было разрешено подать заявление на получение исключения из правил, ни одно из таких исключений не было одобрено.</w:t>
      </w:r>
    </w:p>
    <w:p w:rsidR="002B37FD" w:rsidRDefault="002B37FD" w:rsidP="002B37FD">
      <w:r>
        <w:t>Также он на условиях анонимности сообщил, чтобы около дюжины военнослужащих ВВС были «заблаговременно уведомлены» о предоставления им возможности выйти на пенсию до того, как это решение будет отменено.Все трансгендерные* военнослужащие ВВС будут уволены со службы в соответствии с политикой администрации Дональда Трампа, одним из первых указов которого после вступления в должность, было требование всех без исключения трансгендерных* женщин-заключённых размещать только в мужских тюрьмах.</w:t>
      </w:r>
    </w:p>
    <w:p w:rsidR="002B37FD" w:rsidRDefault="002B37FD" w:rsidP="002B37FD">
      <w:r>
        <w:t>*представители ЛГБТ, движения запрещённого в России</w:t>
      </w:r>
    </w:p>
    <w:p w:rsidR="002B37FD" w:rsidRPr="002B37FD" w:rsidRDefault="002B37FD" w:rsidP="002B37FD">
      <w:hyperlink r:id="rId36" w:history="1">
        <w:r w:rsidRPr="0056523B">
          <w:rPr>
            <w:rStyle w:val="Hyperlink"/>
          </w:rPr>
          <w:t>https://pervoe.online/news/student-v-mire/55663-vvs_ssha_dosrochno_uvolnyayushchikhsya_transgendernykh_voennosluzhashchikh_lishat_pensiy/</w:t>
        </w:r>
      </w:hyperlink>
      <w:r w:rsidRPr="002B37FD">
        <w:t xml:space="preserve"> </w:t>
      </w:r>
    </w:p>
    <w:p w:rsidR="00041EAD" w:rsidRPr="00F64CF5" w:rsidRDefault="00041EAD" w:rsidP="00041EAD">
      <w:pPr>
        <w:pStyle w:val="Heading2"/>
      </w:pPr>
      <w:bookmarkStart w:id="140" w:name="_Toc205532932"/>
      <w:r w:rsidRPr="00F64CF5">
        <w:lastRenderedPageBreak/>
        <w:t>Коммерсантъ, 07.08.2025, Население Японии сократилось на рекордные 900 тыс. человек</w:t>
      </w:r>
      <w:bookmarkEnd w:id="140"/>
    </w:p>
    <w:p w:rsidR="00041EAD" w:rsidRPr="00F64CF5" w:rsidRDefault="00041EAD" w:rsidP="00623EE5">
      <w:pPr>
        <w:pStyle w:val="Heading3"/>
      </w:pPr>
      <w:bookmarkStart w:id="141" w:name="_Toc205532933"/>
      <w:r w:rsidRPr="00F64CF5">
        <w:t>Министерство иностранных дел Японии заявило о рекордном сокращении населения на 900 тыс. человек за прошедший 2024 год, в то же время отмечая рекордный прирост количества иностранных резидентов. С момента достижения пикового значения в 126,6 миллиона в 2009 году население сокращается уже 16 лет подряд. Эксперты прогнозируют, что к 2026 году количество жителей Японии составит менее 120 млн.</w:t>
      </w:r>
      <w:bookmarkEnd w:id="141"/>
    </w:p>
    <w:p w:rsidR="00041EAD" w:rsidRPr="00F64CF5" w:rsidRDefault="00041EAD" w:rsidP="00041EAD">
      <w:r w:rsidRPr="00F64CF5">
        <w:t>В документе, опубликованном правительством Японии, также указано, что прирост иностранных резидентов составил более 350 тыс. человек, при этом 20% из них пришлись на Токио. Таким образом Токио стал единственным местом, в котором отметили прирост количества населения на 0,13%. По официальным данным всего в Японии сейчас 120,6 млн жителей, из них 3,7 млн - иностранцы.</w:t>
      </w:r>
    </w:p>
    <w:p w:rsidR="00041EAD" w:rsidRPr="00F64CF5" w:rsidRDefault="00041EAD" w:rsidP="00041EAD">
      <w:r w:rsidRPr="00F64CF5">
        <w:t>Японское правительство усиливает меры против демографического спада: в 2024 году было выделено 5,3 трлн (около $34 млрд) на поддержку семеи - детские пособия, бесплатное образование и помощь с уходом за детьми. В Токио запускают госприложение для знакомств с обязательнои верификациеи и намерением вступить в брак. Правительство Японии также рассматривает возможность сократить рабочую неделю до четырех дней и ввести новые льготы для родителеи.</w:t>
      </w:r>
    </w:p>
    <w:p w:rsidR="00041EAD" w:rsidRPr="00F64CF5" w:rsidRDefault="00041EAD" w:rsidP="00041EAD">
      <w:r w:rsidRPr="00F64CF5">
        <w:t>Ранее 20 июля по итогам выборов в верхнюю палату парламента Японии правящая коалиция потеряло большинство в том числе из-за проблем с миграцией. Тем временем оппозиционные силы, включая правопопулистскую партию «Сансэйто», выступили за ужесточение миграционного законодательства.</w:t>
      </w:r>
    </w:p>
    <w:p w:rsidR="006224C3" w:rsidRPr="00F64CF5" w:rsidRDefault="00000000" w:rsidP="00041EAD">
      <w:hyperlink r:id="rId37" w:history="1">
        <w:r w:rsidR="00041EAD" w:rsidRPr="00F64CF5">
          <w:rPr>
            <w:rStyle w:val="Hyperlink"/>
          </w:rPr>
          <w:t>https://www.kommersant.ru/doc/7943522</w:t>
        </w:r>
      </w:hyperlink>
    </w:p>
    <w:p w:rsidR="00041EAD" w:rsidRPr="00F64CF5" w:rsidRDefault="00041EAD" w:rsidP="00041EAD"/>
    <w:p w:rsidR="00CA32BC" w:rsidRPr="0090779C" w:rsidRDefault="00CA32BC" w:rsidP="00CA32BC"/>
    <w:sectPr w:rsidR="00CA32BC" w:rsidRPr="0090779C" w:rsidSect="00B01BEA">
      <w:headerReference w:type="default" r:id="rId38"/>
      <w:footerReference w:type="default" r:id="rId3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5102" w:rsidRDefault="000A5102">
      <w:r>
        <w:separator/>
      </w:r>
    </w:p>
  </w:endnote>
  <w:endnote w:type="continuationSeparator" w:id="0">
    <w:p w:rsidR="000A5102" w:rsidRDefault="000A5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6134" w:rsidRPr="00D64E5C" w:rsidRDefault="00906134" w:rsidP="00D64E5C">
    <w:pPr>
      <w:pStyle w:val="Footer"/>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C8299B" w:rsidRPr="00C8299B">
      <w:rPr>
        <w:rFonts w:ascii="Cambria" w:hAnsi="Cambria"/>
        <w:b/>
        <w:noProof/>
      </w:rPr>
      <w:t>6</w:t>
    </w:r>
    <w:r w:rsidRPr="00CB47BF">
      <w:rPr>
        <w:b/>
      </w:rPr>
      <w:fldChar w:fldCharType="end"/>
    </w:r>
  </w:p>
  <w:p w:rsidR="00906134" w:rsidRPr="00D15988" w:rsidRDefault="00906134"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5102" w:rsidRDefault="000A5102">
      <w:r>
        <w:separator/>
      </w:r>
    </w:p>
  </w:footnote>
  <w:footnote w:type="continuationSeparator" w:id="0">
    <w:p w:rsidR="000A5102" w:rsidRDefault="000A5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6134" w:rsidRDefault="000A5102" w:rsidP="00122493">
    <w:pPr>
      <w:tabs>
        <w:tab w:val="left" w:pos="555"/>
        <w:tab w:val="right" w:pos="9071"/>
      </w:tabs>
      <w:jc w:val="center"/>
    </w:pPr>
    <w:r>
      <w:rPr>
        <w:noProof/>
      </w:rPr>
      <w:pict>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rsidR="00906134" w:rsidRPr="000C041B" w:rsidRDefault="00906134" w:rsidP="00122493">
                <w:pPr>
                  <w:ind w:right="423"/>
                  <w:jc w:val="center"/>
                  <w:rPr>
                    <w:rFonts w:cs="Arial"/>
                    <w:b/>
                    <w:color w:val="EEECE1"/>
                    <w:sz w:val="6"/>
                    <w:szCs w:val="6"/>
                  </w:rPr>
                </w:pPr>
                <w:r w:rsidRPr="000C041B">
                  <w:rPr>
                    <w:rFonts w:cs="Arial"/>
                    <w:b/>
                    <w:color w:val="EEECE1"/>
                    <w:sz w:val="6"/>
                    <w:szCs w:val="6"/>
                  </w:rPr>
                  <w:t xml:space="preserve">        </w:t>
                </w:r>
              </w:p>
              <w:p w:rsidR="00906134" w:rsidRPr="00D15988" w:rsidRDefault="00906134"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rsidR="00906134" w:rsidRPr="007336C7" w:rsidRDefault="00906134" w:rsidP="00122493">
                <w:pPr>
                  <w:ind w:right="423"/>
                  <w:rPr>
                    <w:rFonts w:cs="Arial"/>
                  </w:rPr>
                </w:pPr>
              </w:p>
              <w:p w:rsidR="00906134" w:rsidRPr="00267F53" w:rsidRDefault="00906134" w:rsidP="00122493"/>
            </w:txbxContent>
          </v:textbox>
        </v:roundrect>
      </w:pict>
    </w:r>
    <w:r w:rsidR="00906134">
      <w:t xml:space="preserve">             </w:t>
    </w:r>
  </w:p>
  <w:p w:rsidR="00906134" w:rsidRDefault="00906134" w:rsidP="00122493">
    <w:pPr>
      <w:tabs>
        <w:tab w:val="left" w:pos="555"/>
        <w:tab w:val="right" w:pos="9071"/>
      </w:tabs>
      <w:jc w:val="center"/>
    </w:pPr>
    <w:r>
      <w:tab/>
    </w:r>
    <w:r>
      <w:tab/>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0A510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1.1pt;height:38.95pt;visibility:visible;mso-width-percent:0;mso-height-percent:0;mso-width-percent:0;mso-height-percent:0">
          <v:imagedata r:id="rId1" r:href="rId2"/>
        </v:shape>
      </w:pict>
    </w:r>
    <w:r w:rsidR="0000000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4885101">
    <w:abstractNumId w:val="25"/>
  </w:num>
  <w:num w:numId="2" w16cid:durableId="1254977704">
    <w:abstractNumId w:val="12"/>
  </w:num>
  <w:num w:numId="3" w16cid:durableId="1917326581">
    <w:abstractNumId w:val="27"/>
  </w:num>
  <w:num w:numId="4" w16cid:durableId="1746762270">
    <w:abstractNumId w:val="17"/>
  </w:num>
  <w:num w:numId="5" w16cid:durableId="842085645">
    <w:abstractNumId w:val="18"/>
  </w:num>
  <w:num w:numId="6" w16cid:durableId="15425490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628498">
    <w:abstractNumId w:val="24"/>
  </w:num>
  <w:num w:numId="8" w16cid:durableId="1300308523">
    <w:abstractNumId w:val="21"/>
  </w:num>
  <w:num w:numId="9" w16cid:durableId="174479140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2271437">
    <w:abstractNumId w:val="16"/>
  </w:num>
  <w:num w:numId="11" w16cid:durableId="829367831">
    <w:abstractNumId w:val="15"/>
  </w:num>
  <w:num w:numId="12" w16cid:durableId="920791078">
    <w:abstractNumId w:val="10"/>
  </w:num>
  <w:num w:numId="13" w16cid:durableId="817110892">
    <w:abstractNumId w:val="9"/>
  </w:num>
  <w:num w:numId="14" w16cid:durableId="1832788845">
    <w:abstractNumId w:val="7"/>
  </w:num>
  <w:num w:numId="15" w16cid:durableId="458454141">
    <w:abstractNumId w:val="6"/>
  </w:num>
  <w:num w:numId="16" w16cid:durableId="1636570343">
    <w:abstractNumId w:val="5"/>
  </w:num>
  <w:num w:numId="17" w16cid:durableId="103353411">
    <w:abstractNumId w:val="4"/>
  </w:num>
  <w:num w:numId="18" w16cid:durableId="312223467">
    <w:abstractNumId w:val="8"/>
  </w:num>
  <w:num w:numId="19" w16cid:durableId="1015424226">
    <w:abstractNumId w:val="3"/>
  </w:num>
  <w:num w:numId="20" w16cid:durableId="702242491">
    <w:abstractNumId w:val="2"/>
  </w:num>
  <w:num w:numId="21" w16cid:durableId="2062092694">
    <w:abstractNumId w:val="1"/>
  </w:num>
  <w:num w:numId="22" w16cid:durableId="2074574480">
    <w:abstractNumId w:val="0"/>
  </w:num>
  <w:num w:numId="23" w16cid:durableId="555286763">
    <w:abstractNumId w:val="19"/>
  </w:num>
  <w:num w:numId="24" w16cid:durableId="1728844361">
    <w:abstractNumId w:val="26"/>
  </w:num>
  <w:num w:numId="25" w16cid:durableId="1385642501">
    <w:abstractNumId w:val="20"/>
  </w:num>
  <w:num w:numId="26" w16cid:durableId="1909683310">
    <w:abstractNumId w:val="13"/>
  </w:num>
  <w:num w:numId="27" w16cid:durableId="1053233048">
    <w:abstractNumId w:val="11"/>
  </w:num>
  <w:num w:numId="28" w16cid:durableId="1559785710">
    <w:abstractNumId w:val="22"/>
  </w:num>
  <w:num w:numId="29" w16cid:durableId="924340599">
    <w:abstractNumId w:val="23"/>
  </w:num>
  <w:num w:numId="30" w16cid:durableId="7193244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16F"/>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1EAD"/>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102"/>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63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B72"/>
    <w:rsid w:val="002A6C49"/>
    <w:rsid w:val="002A6F94"/>
    <w:rsid w:val="002A6FC8"/>
    <w:rsid w:val="002A705B"/>
    <w:rsid w:val="002A7748"/>
    <w:rsid w:val="002A7D90"/>
    <w:rsid w:val="002B030B"/>
    <w:rsid w:val="002B06BE"/>
    <w:rsid w:val="002B0B45"/>
    <w:rsid w:val="002B24B7"/>
    <w:rsid w:val="002B2D94"/>
    <w:rsid w:val="002B37FD"/>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C7F39"/>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1E83"/>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C96"/>
    <w:rsid w:val="004A6D6D"/>
    <w:rsid w:val="004A77A1"/>
    <w:rsid w:val="004B0A7E"/>
    <w:rsid w:val="004B0E50"/>
    <w:rsid w:val="004B1615"/>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BC8"/>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376"/>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2B1"/>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B7A5F"/>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4C3"/>
    <w:rsid w:val="00622CF0"/>
    <w:rsid w:val="00623EE5"/>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A0C"/>
    <w:rsid w:val="00666B68"/>
    <w:rsid w:val="006670FF"/>
    <w:rsid w:val="006671A6"/>
    <w:rsid w:val="006673A1"/>
    <w:rsid w:val="0066772E"/>
    <w:rsid w:val="00667EFA"/>
    <w:rsid w:val="006700FD"/>
    <w:rsid w:val="006706A3"/>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77FE9"/>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2E"/>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09B"/>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134"/>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671A"/>
    <w:rsid w:val="0094725A"/>
    <w:rsid w:val="00947A2F"/>
    <w:rsid w:val="009508A5"/>
    <w:rsid w:val="00951516"/>
    <w:rsid w:val="00951B40"/>
    <w:rsid w:val="00951CAB"/>
    <w:rsid w:val="00952770"/>
    <w:rsid w:val="0095325C"/>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37B"/>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3F42"/>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20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BBC"/>
    <w:rsid w:val="00AC0F0D"/>
    <w:rsid w:val="00AC1196"/>
    <w:rsid w:val="00AC134F"/>
    <w:rsid w:val="00AC16B4"/>
    <w:rsid w:val="00AC197C"/>
    <w:rsid w:val="00AC1BA7"/>
    <w:rsid w:val="00AC20D6"/>
    <w:rsid w:val="00AC2459"/>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1DE6"/>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3EE"/>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299B"/>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4A1A"/>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DB2"/>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37A6"/>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23B"/>
    <w:rsid w:val="00E10D13"/>
    <w:rsid w:val="00E11FA7"/>
    <w:rsid w:val="00E11FCD"/>
    <w:rsid w:val="00E1249B"/>
    <w:rsid w:val="00E12D97"/>
    <w:rsid w:val="00E13267"/>
    <w:rsid w:val="00E1399C"/>
    <w:rsid w:val="00E1422B"/>
    <w:rsid w:val="00E14277"/>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563E"/>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66E"/>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453E"/>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269E2"/>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1AB"/>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CF5"/>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1E12"/>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BC4061"/>
  <w15:docId w15:val="{6C6FE80E-80A9-2F4C-A370-91EFF19C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R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1ABA"/>
    <w:pPr>
      <w:spacing w:after="120"/>
      <w:jc w:val="both"/>
    </w:pPr>
    <w:rPr>
      <w:sz w:val="24"/>
      <w:szCs w:val="24"/>
      <w:lang w:val="ru-RU" w:eastAsia="ru-RU"/>
    </w:rPr>
  </w:style>
  <w:style w:type="paragraph" w:styleId="Heading1">
    <w:name w:val="heading 1"/>
    <w:next w:val="Normal"/>
    <w:link w:val="Heading1Char"/>
    <w:qFormat/>
    <w:rsid w:val="00D01ABA"/>
    <w:pPr>
      <w:keepNext/>
      <w:keepLines/>
      <w:spacing w:before="600" w:after="120"/>
      <w:outlineLvl w:val="0"/>
    </w:pPr>
    <w:rPr>
      <w:rFonts w:ascii="Arial" w:hAnsi="Arial" w:cs="Arial"/>
      <w:b/>
      <w:bCs/>
      <w:kern w:val="32"/>
      <w:sz w:val="32"/>
      <w:szCs w:val="32"/>
      <w:lang w:val="ru-RU" w:eastAsia="ru-RU"/>
    </w:rPr>
  </w:style>
  <w:style w:type="paragraph" w:styleId="Heading2">
    <w:name w:val="heading 2"/>
    <w:next w:val="Normal"/>
    <w:link w:val="Heading2Char"/>
    <w:qFormat/>
    <w:rsid w:val="00D01ABA"/>
    <w:pPr>
      <w:keepNext/>
      <w:keepLines/>
      <w:spacing w:before="360" w:after="120"/>
      <w:jc w:val="both"/>
      <w:outlineLvl w:val="1"/>
    </w:pPr>
    <w:rPr>
      <w:rFonts w:ascii="Arial" w:hAnsi="Arial" w:cs="Arial"/>
      <w:b/>
      <w:bCs/>
      <w:i/>
      <w:iCs/>
      <w:sz w:val="28"/>
      <w:szCs w:val="28"/>
      <w:lang w:val="ru-RU" w:eastAsia="ru-RU"/>
    </w:rPr>
  </w:style>
  <w:style w:type="paragraph" w:styleId="Heading3">
    <w:name w:val="heading 3"/>
    <w:basedOn w:val="Normal"/>
    <w:next w:val="Normal"/>
    <w:link w:val="Heading3Char"/>
    <w:qFormat/>
    <w:rsid w:val="00D01ABA"/>
    <w:pPr>
      <w:keepNext/>
      <w:keepLines/>
      <w:ind w:firstLine="709"/>
      <w:outlineLvl w:val="2"/>
    </w:pPr>
    <w:rPr>
      <w:rFonts w:ascii="Arial" w:hAnsi="Arial" w:cs="Arial"/>
      <w:bCs/>
      <w:i/>
      <w:szCs w:val="26"/>
    </w:rPr>
  </w:style>
  <w:style w:type="paragraph" w:styleId="Heading4">
    <w:name w:val="heading 4"/>
    <w:basedOn w:val="Normal"/>
    <w:next w:val="Normal"/>
    <w:link w:val="Heading4Char"/>
    <w:qFormat/>
    <w:rsid w:val="002337F8"/>
    <w:pPr>
      <w:keepNext/>
      <w:spacing w:before="240" w:after="60"/>
      <w:outlineLvl w:val="3"/>
    </w:pPr>
    <w:rPr>
      <w:rFonts w:ascii="Calibri" w:hAnsi="Calibri"/>
      <w:b/>
      <w:bCs/>
      <w:sz w:val="28"/>
      <w:szCs w:val="28"/>
    </w:rPr>
  </w:style>
  <w:style w:type="paragraph" w:styleId="Heading7">
    <w:name w:val="heading 7"/>
    <w:basedOn w:val="Normal"/>
    <w:next w:val="Normal"/>
    <w:qFormat/>
    <w:rsid w:val="000C1A46"/>
    <w:pPr>
      <w:spacing w:before="240" w:after="60"/>
      <w:jc w:val="lef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C0B05"/>
    <w:rPr>
      <w:rFonts w:ascii="Arial" w:hAnsi="Arial" w:cs="Arial"/>
      <w:b/>
      <w:bCs/>
      <w:kern w:val="32"/>
      <w:sz w:val="32"/>
      <w:szCs w:val="32"/>
      <w:lang w:val="ru-RU" w:eastAsia="ru-RU" w:bidi="ar-SA"/>
    </w:rPr>
  </w:style>
  <w:style w:type="character" w:customStyle="1" w:styleId="Heading2Char">
    <w:name w:val="Heading 2 Char"/>
    <w:link w:val="Heading2"/>
    <w:rsid w:val="000C1A46"/>
    <w:rPr>
      <w:rFonts w:ascii="Arial" w:hAnsi="Arial" w:cs="Arial"/>
      <w:b/>
      <w:bCs/>
      <w:i/>
      <w:iCs/>
      <w:sz w:val="28"/>
      <w:szCs w:val="28"/>
      <w:lang w:val="ru-RU" w:eastAsia="ru-RU" w:bidi="ar-SA"/>
    </w:rPr>
  </w:style>
  <w:style w:type="character" w:customStyle="1" w:styleId="Heading3Char">
    <w:name w:val="Heading 3 Char"/>
    <w:link w:val="Heading3"/>
    <w:rsid w:val="00D01ABA"/>
    <w:rPr>
      <w:rFonts w:ascii="Arial" w:hAnsi="Arial" w:cs="Arial"/>
      <w:bCs/>
      <w:i/>
      <w:sz w:val="24"/>
      <w:szCs w:val="26"/>
      <w:lang w:val="ru-RU" w:eastAsia="ru-RU" w:bidi="ar-SA"/>
    </w:rPr>
  </w:style>
  <w:style w:type="character" w:customStyle="1" w:styleId="Heading4Char">
    <w:name w:val="Heading 4 Char"/>
    <w:link w:val="Heading4"/>
    <w:rsid w:val="002337F8"/>
    <w:rPr>
      <w:rFonts w:ascii="Calibri" w:eastAsia="Times New Roman" w:hAnsi="Calibri" w:cs="Times New Roman"/>
      <w:b/>
      <w:bCs/>
      <w:sz w:val="28"/>
      <w:szCs w:val="28"/>
    </w:rPr>
  </w:style>
  <w:style w:type="paragraph" w:styleId="TOC1">
    <w:name w:val="toc 1"/>
    <w:basedOn w:val="Normal"/>
    <w:next w:val="Normal"/>
    <w:link w:val="TOC1Char"/>
    <w:uiPriority w:val="39"/>
    <w:rsid w:val="00D01ABA"/>
    <w:pPr>
      <w:keepNext/>
      <w:keepLines/>
      <w:spacing w:before="240" w:after="0"/>
      <w:jc w:val="left"/>
    </w:pPr>
    <w:rPr>
      <w:b/>
      <w:sz w:val="28"/>
    </w:rPr>
  </w:style>
  <w:style w:type="character" w:customStyle="1" w:styleId="TOC1Char">
    <w:name w:val="TOC 1 Char"/>
    <w:link w:val="TOC1"/>
    <w:rsid w:val="00D01ABA"/>
    <w:rPr>
      <w:b/>
      <w:sz w:val="28"/>
      <w:szCs w:val="24"/>
      <w:lang w:val="ru-RU" w:eastAsia="ru-RU" w:bidi="ar-SA"/>
    </w:rPr>
  </w:style>
  <w:style w:type="paragraph" w:styleId="TOC3">
    <w:name w:val="toc 3"/>
    <w:basedOn w:val="Normal"/>
    <w:next w:val="Normal"/>
    <w:uiPriority w:val="39"/>
    <w:rsid w:val="009071FC"/>
    <w:pPr>
      <w:keepLines/>
      <w:pBdr>
        <w:left w:val="single" w:sz="12" w:space="4" w:color="808080"/>
      </w:pBdr>
      <w:tabs>
        <w:tab w:val="right" w:pos="11340"/>
      </w:tabs>
      <w:spacing w:before="40" w:after="0"/>
      <w:ind w:left="567" w:right="567"/>
    </w:pPr>
    <w:rPr>
      <w:noProof/>
    </w:rPr>
  </w:style>
  <w:style w:type="paragraph" w:styleId="TOC2">
    <w:name w:val="toc 2"/>
    <w:basedOn w:val="Normal"/>
    <w:next w:val="Normal"/>
    <w:uiPriority w:val="39"/>
    <w:rsid w:val="00D01ABA"/>
    <w:pPr>
      <w:keepNext/>
      <w:keepLines/>
      <w:spacing w:before="60" w:after="0"/>
      <w:jc w:val="left"/>
    </w:pPr>
  </w:style>
  <w:style w:type="character" w:styleId="Hyperlink">
    <w:name w:val="Hyperlink"/>
    <w:uiPriority w:val="99"/>
    <w:rsid w:val="00D01ABA"/>
    <w:rPr>
      <w:color w:val="0000FF"/>
      <w:u w:val="single"/>
    </w:rPr>
  </w:style>
  <w:style w:type="table" w:styleId="TableGrid">
    <w:name w:val="Table Grid"/>
    <w:basedOn w:val="TableNormal"/>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Об авторе"/>
    <w:basedOn w:val="Normal"/>
    <w:rsid w:val="00D01ABA"/>
    <w:pPr>
      <w:ind w:right="-55"/>
      <w:jc w:val="left"/>
    </w:pPr>
    <w:rPr>
      <w:color w:val="333333"/>
      <w:sz w:val="40"/>
      <w:szCs w:val="20"/>
    </w:rPr>
  </w:style>
  <w:style w:type="paragraph" w:customStyle="1" w:styleId="a0">
    <w:name w:val="Темы дня"/>
    <w:basedOn w:val="Normal"/>
    <w:rsid w:val="00D01ABA"/>
    <w:pPr>
      <w:keepLines/>
      <w:spacing w:after="240"/>
    </w:pPr>
    <w:rPr>
      <w:i/>
    </w:rPr>
  </w:style>
  <w:style w:type="paragraph" w:styleId="BlockText">
    <w:name w:val="Block Text"/>
    <w:basedOn w:val="a0"/>
    <w:rsid w:val="00D01ABA"/>
    <w:rPr>
      <w:bCs/>
    </w:rPr>
  </w:style>
  <w:style w:type="paragraph" w:customStyle="1" w:styleId="a1">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2">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NormalWeb">
    <w:name w:val="Normal (Web)"/>
    <w:basedOn w:val="Normal"/>
    <w:link w:val="NormalWebChar"/>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NormalWebChar">
    <w:name w:val="Normal (Web) Char"/>
    <w:link w:val="NormalWeb"/>
    <w:rsid w:val="002337F8"/>
    <w:rPr>
      <w:rFonts w:ascii="Verdana" w:eastAsia="Verdana" w:hAnsi="Verdana"/>
    </w:rPr>
  </w:style>
  <w:style w:type="paragraph" w:customStyle="1" w:styleId="a3">
    <w:name w:val="Текст документа"/>
    <w:basedOn w:val="NormalWeb"/>
    <w:link w:val="a4"/>
    <w:autoRedefine/>
    <w:rsid w:val="0089541B"/>
    <w:pPr>
      <w:spacing w:line="240" w:lineRule="auto"/>
      <w:ind w:left="0"/>
      <w:jc w:val="both"/>
    </w:pPr>
    <w:rPr>
      <w:rFonts w:ascii="Times New Roman" w:hAnsi="Times New Roman"/>
      <w:color w:val="000000"/>
      <w:sz w:val="24"/>
      <w:szCs w:val="24"/>
    </w:rPr>
  </w:style>
  <w:style w:type="character" w:customStyle="1" w:styleId="a4">
    <w:name w:val="Текст документа Знак Знак"/>
    <w:link w:val="a3"/>
    <w:rsid w:val="0089541B"/>
    <w:rPr>
      <w:rFonts w:eastAsia="Verdana"/>
      <w:color w:val="000000"/>
      <w:sz w:val="24"/>
      <w:szCs w:val="24"/>
    </w:rPr>
  </w:style>
  <w:style w:type="paragraph" w:customStyle="1" w:styleId="2">
    <w:name w:val="Заглавие 2"/>
    <w:basedOn w:val="Heading2"/>
    <w:autoRedefine/>
    <w:rsid w:val="002337F8"/>
    <w:pPr>
      <w:spacing w:before="960" w:after="60"/>
      <w:jc w:val="left"/>
    </w:pPr>
    <w:rPr>
      <w:b w:val="0"/>
      <w:i w:val="0"/>
      <w:sz w:val="32"/>
    </w:rPr>
  </w:style>
  <w:style w:type="paragraph" w:customStyle="1" w:styleId="a5">
    <w:name w:val="Похожие сообщения раздел"/>
    <w:basedOn w:val="Normal"/>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5"/>
    <w:rsid w:val="002337F8"/>
    <w:rPr>
      <w:rFonts w:ascii="Arial" w:eastAsia="Verdana" w:hAnsi="Arial"/>
      <w:b/>
      <w:bCs/>
      <w:color w:val="808080"/>
      <w:sz w:val="24"/>
    </w:rPr>
  </w:style>
  <w:style w:type="paragraph" w:customStyle="1" w:styleId="a6">
    <w:name w:val="Похожие сообщения заголовок"/>
    <w:basedOn w:val="a5"/>
    <w:link w:val="Char0"/>
    <w:rsid w:val="00874788"/>
    <w:pPr>
      <w:spacing w:after="240" w:line="240" w:lineRule="auto"/>
      <w:jc w:val="left"/>
      <w:outlineLvl w:val="4"/>
    </w:pPr>
  </w:style>
  <w:style w:type="character" w:customStyle="1" w:styleId="Char0">
    <w:name w:val="Похожие сообщения заголовок Char"/>
    <w:link w:val="a6"/>
    <w:rsid w:val="00874788"/>
    <w:rPr>
      <w:rFonts w:ascii="Arial" w:eastAsia="Verdana" w:hAnsi="Arial"/>
      <w:b/>
      <w:bCs/>
      <w:color w:val="808080"/>
      <w:sz w:val="24"/>
      <w:lang w:val="ru-RU" w:eastAsia="ru-RU" w:bidi="ar-SA"/>
    </w:rPr>
  </w:style>
  <w:style w:type="character" w:customStyle="1" w:styleId="20">
    <w:name w:val="Источник и дата 2"/>
    <w:rsid w:val="002337F8"/>
    <w:rPr>
      <w:rFonts w:ascii="Arial" w:hAnsi="Arial"/>
      <w:sz w:val="16"/>
      <w:lang w:val="ru-RU" w:eastAsia="ru-RU" w:bidi="ar-SA"/>
    </w:rPr>
  </w:style>
  <w:style w:type="paragraph" w:customStyle="1" w:styleId="4">
    <w:name w:val="Заглавие 4"/>
    <w:basedOn w:val="Heading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
    <w:rsid w:val="00DE13D7"/>
    <w:rPr>
      <w:rFonts w:ascii="Arial" w:eastAsia="Times New Roman" w:hAnsi="Arial" w:cs="Times New Roman"/>
      <w:b/>
      <w:bCs/>
      <w:sz w:val="24"/>
      <w:szCs w:val="28"/>
    </w:rPr>
  </w:style>
  <w:style w:type="paragraph" w:styleId="DocumentMap">
    <w:name w:val="Document Map"/>
    <w:basedOn w:val="Normal"/>
    <w:link w:val="DocumentMapChar"/>
    <w:rsid w:val="002A12F4"/>
    <w:pPr>
      <w:shd w:val="clear" w:color="auto" w:fill="000080"/>
    </w:pPr>
    <w:rPr>
      <w:rFonts w:ascii="Tahoma" w:hAnsi="Tahoma"/>
      <w:sz w:val="20"/>
      <w:szCs w:val="20"/>
    </w:rPr>
  </w:style>
  <w:style w:type="character" w:customStyle="1" w:styleId="DocumentMapChar">
    <w:name w:val="Document Map Char"/>
    <w:link w:val="DocumentMap"/>
    <w:rsid w:val="00A0290C"/>
    <w:rPr>
      <w:rFonts w:ascii="Tahoma" w:hAnsi="Tahoma" w:cs="Tahoma"/>
      <w:shd w:val="clear" w:color="auto" w:fill="000080"/>
    </w:rPr>
  </w:style>
  <w:style w:type="paragraph" w:styleId="Header">
    <w:name w:val="header"/>
    <w:basedOn w:val="Normal"/>
    <w:link w:val="HeaderChar"/>
    <w:rsid w:val="002A12F4"/>
    <w:pPr>
      <w:tabs>
        <w:tab w:val="center" w:pos="4677"/>
        <w:tab w:val="right" w:pos="9355"/>
      </w:tabs>
    </w:pPr>
  </w:style>
  <w:style w:type="character" w:customStyle="1" w:styleId="HeaderChar">
    <w:name w:val="Header Char"/>
    <w:link w:val="Header"/>
    <w:rsid w:val="00A0290C"/>
    <w:rPr>
      <w:sz w:val="24"/>
      <w:szCs w:val="24"/>
    </w:rPr>
  </w:style>
  <w:style w:type="paragraph" w:styleId="Footer">
    <w:name w:val="footer"/>
    <w:basedOn w:val="Normal"/>
    <w:link w:val="FooterChar"/>
    <w:uiPriority w:val="99"/>
    <w:rsid w:val="002A12F4"/>
    <w:pPr>
      <w:tabs>
        <w:tab w:val="center" w:pos="4677"/>
        <w:tab w:val="right" w:pos="9355"/>
      </w:tabs>
    </w:pPr>
  </w:style>
  <w:style w:type="character" w:customStyle="1" w:styleId="FooterChar">
    <w:name w:val="Footer Char"/>
    <w:link w:val="Footer"/>
    <w:uiPriority w:val="99"/>
    <w:rsid w:val="00A0290C"/>
    <w:rPr>
      <w:sz w:val="24"/>
      <w:szCs w:val="24"/>
    </w:rPr>
  </w:style>
  <w:style w:type="paragraph" w:styleId="TOC4">
    <w:name w:val="toc 4"/>
    <w:basedOn w:val="Normal"/>
    <w:next w:val="Normal"/>
    <w:autoRedefine/>
    <w:uiPriority w:val="39"/>
    <w:rsid w:val="00684C00"/>
    <w:pPr>
      <w:ind w:left="720"/>
    </w:pPr>
  </w:style>
  <w:style w:type="paragraph" w:customStyle="1" w:styleId="a7">
    <w:name w:val="Заголовок раздела"/>
    <w:basedOn w:val="Heading1"/>
    <w:next w:val="Normal"/>
    <w:rsid w:val="000912D7"/>
    <w:pPr>
      <w:shd w:val="clear" w:color="auto" w:fill="C0C0C0"/>
    </w:pPr>
  </w:style>
  <w:style w:type="paragraph" w:customStyle="1" w:styleId="25">
    <w:name w:val="Стиль Заголовок раздела + Узор: Нет (Серый 25%)"/>
    <w:basedOn w:val="a7"/>
    <w:rsid w:val="000912D7"/>
    <w:pPr>
      <w:shd w:val="clear" w:color="auto" w:fill="008000"/>
    </w:pPr>
    <w:rPr>
      <w:shd w:val="clear" w:color="auto" w:fill="C0C0C0"/>
    </w:rPr>
  </w:style>
  <w:style w:type="paragraph" w:styleId="TOC5">
    <w:name w:val="toc 5"/>
    <w:basedOn w:val="Normal"/>
    <w:next w:val="Normal"/>
    <w:uiPriority w:val="39"/>
    <w:rsid w:val="003F1B8B"/>
    <w:pPr>
      <w:ind w:left="960"/>
    </w:pPr>
    <w:rPr>
      <w:sz w:val="20"/>
    </w:rPr>
  </w:style>
  <w:style w:type="paragraph" w:customStyle="1" w:styleId="5">
    <w:name w:val="Заглавие 5"/>
    <w:basedOn w:val="Normal"/>
    <w:link w:val="50"/>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0">
    <w:name w:val="Заглавие 5 Знак"/>
    <w:link w:val="5"/>
    <w:rsid w:val="00DE13D7"/>
    <w:rPr>
      <w:rFonts w:ascii="Arial" w:hAnsi="Arial"/>
      <w:i/>
      <w:sz w:val="16"/>
      <w:szCs w:val="24"/>
    </w:rPr>
  </w:style>
  <w:style w:type="paragraph" w:styleId="Title">
    <w:name w:val="Title"/>
    <w:basedOn w:val="Normal"/>
    <w:next w:val="Normal"/>
    <w:link w:val="TitleChar"/>
    <w:qFormat/>
    <w:rsid w:val="00A0290C"/>
    <w:pPr>
      <w:spacing w:before="240" w:after="60"/>
      <w:jc w:val="center"/>
      <w:outlineLvl w:val="0"/>
    </w:pPr>
    <w:rPr>
      <w:rFonts w:ascii="Cambria" w:hAnsi="Cambria"/>
      <w:b/>
      <w:bCs/>
      <w:kern w:val="28"/>
      <w:sz w:val="32"/>
      <w:szCs w:val="32"/>
    </w:rPr>
  </w:style>
  <w:style w:type="character" w:customStyle="1" w:styleId="TitleChar">
    <w:name w:val="Title Char"/>
    <w:link w:val="Title"/>
    <w:rsid w:val="00A0290C"/>
    <w:rPr>
      <w:rFonts w:ascii="Cambria" w:hAnsi="Cambria"/>
      <w:b/>
      <w:bCs/>
      <w:kern w:val="28"/>
      <w:sz w:val="32"/>
      <w:szCs w:val="32"/>
    </w:rPr>
  </w:style>
  <w:style w:type="character" w:styleId="Strong">
    <w:name w:val="Strong"/>
    <w:uiPriority w:val="22"/>
    <w:qFormat/>
    <w:rsid w:val="00A0290C"/>
    <w:rPr>
      <w:rFonts w:ascii="Verdana" w:eastAsia="Verdana" w:hAnsi="Verdana" w:hint="default"/>
      <w:b/>
      <w:bCs/>
      <w:sz w:val="20"/>
      <w:szCs w:val="20"/>
    </w:rPr>
  </w:style>
  <w:style w:type="character" w:styleId="Emphasis">
    <w:name w:val="Emphasis"/>
    <w:qFormat/>
    <w:rsid w:val="00A0290C"/>
    <w:rPr>
      <w:i/>
      <w:iCs/>
    </w:rPr>
  </w:style>
  <w:style w:type="character" w:customStyle="1" w:styleId="BodyTextChar">
    <w:name w:val="Body Text Char"/>
    <w:link w:val="BodyText"/>
    <w:rsid w:val="00A0290C"/>
    <w:rPr>
      <w:rFonts w:ascii="Verdana" w:hAnsi="Verdana"/>
      <w:szCs w:val="24"/>
    </w:rPr>
  </w:style>
  <w:style w:type="paragraph" w:styleId="BodyText">
    <w:name w:val="Body Text"/>
    <w:basedOn w:val="Normal"/>
    <w:link w:val="BodyTextChar"/>
    <w:rsid w:val="00A0290C"/>
    <w:pPr>
      <w:spacing w:after="0"/>
    </w:pPr>
    <w:rPr>
      <w:rFonts w:ascii="Verdana" w:hAnsi="Verdana"/>
      <w:sz w:val="20"/>
    </w:rPr>
  </w:style>
  <w:style w:type="paragraph" w:customStyle="1" w:styleId="a8">
    <w:name w:val="Источник и дата"/>
    <w:basedOn w:val="Normal"/>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8"/>
    <w:rsid w:val="00A0290C"/>
    <w:rPr>
      <w:rFonts w:ascii="Arial" w:hAnsi="Arial"/>
      <w:sz w:val="16"/>
    </w:rPr>
  </w:style>
  <w:style w:type="paragraph" w:customStyle="1" w:styleId="3">
    <w:name w:val="Заглавие 3"/>
    <w:basedOn w:val="Heading3"/>
    <w:link w:val="3Char"/>
    <w:autoRedefine/>
    <w:rsid w:val="00A0290C"/>
    <w:pPr>
      <w:spacing w:before="240"/>
      <w:ind w:firstLine="0"/>
      <w:jc w:val="left"/>
    </w:pPr>
    <w:rPr>
      <w:rFonts w:eastAsia="Verdana"/>
      <w:sz w:val="28"/>
    </w:rPr>
  </w:style>
  <w:style w:type="character" w:customStyle="1" w:styleId="3Char">
    <w:name w:val="Заглавие 3 Char"/>
    <w:link w:val="3"/>
    <w:rsid w:val="00A0290C"/>
    <w:rPr>
      <w:rFonts w:ascii="Arial" w:eastAsia="Verdana" w:hAnsi="Arial" w:cs="Arial"/>
      <w:bCs/>
      <w:i/>
      <w:sz w:val="28"/>
      <w:szCs w:val="26"/>
      <w:lang w:val="ru-RU" w:eastAsia="ru-RU" w:bidi="ar-SA"/>
    </w:rPr>
  </w:style>
  <w:style w:type="paragraph" w:customStyle="1" w:styleId="a9">
    <w:name w:val="Подсветка"/>
    <w:basedOn w:val="a3"/>
    <w:link w:val="Char2"/>
    <w:rsid w:val="00A0290C"/>
    <w:pPr>
      <w:spacing w:line="360" w:lineRule="auto"/>
      <w:jc w:val="left"/>
    </w:pPr>
    <w:rPr>
      <w:rFonts w:ascii="Arial" w:hAnsi="Arial"/>
      <w:b/>
      <w:bCs/>
    </w:rPr>
  </w:style>
  <w:style w:type="character" w:customStyle="1" w:styleId="Char2">
    <w:name w:val="Подсветка Char"/>
    <w:link w:val="a9"/>
    <w:rsid w:val="00A0290C"/>
    <w:rPr>
      <w:rFonts w:ascii="Arial" w:eastAsia="Verdana" w:hAnsi="Arial"/>
      <w:b/>
      <w:bCs/>
      <w:color w:val="000000"/>
      <w:sz w:val="24"/>
      <w:szCs w:val="24"/>
      <w:lang w:val="ru-RU" w:eastAsia="ru-RU" w:bidi="ar-SA"/>
    </w:rPr>
  </w:style>
  <w:style w:type="paragraph" w:customStyle="1" w:styleId="1">
    <w:name w:val="Список1"/>
    <w:basedOn w:val="a3"/>
    <w:autoRedefine/>
    <w:rsid w:val="00A0290C"/>
    <w:pPr>
      <w:numPr>
        <w:numId w:val="12"/>
      </w:numPr>
      <w:spacing w:line="360" w:lineRule="auto"/>
      <w:jc w:val="left"/>
    </w:pPr>
    <w:rPr>
      <w:rFonts w:ascii="Arial" w:hAnsi="Arial"/>
      <w:iCs/>
      <w:sz w:val="20"/>
      <w:szCs w:val="20"/>
    </w:rPr>
  </w:style>
  <w:style w:type="paragraph" w:customStyle="1" w:styleId="aa">
    <w:name w:val="Пояснения"/>
    <w:basedOn w:val="a3"/>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a"/>
    <w:rsid w:val="00A0290C"/>
    <w:rPr>
      <w:rFonts w:ascii="Arial" w:eastAsia="Verdana" w:hAnsi="Arial"/>
      <w:color w:val="000000"/>
      <w:sz w:val="24"/>
      <w:szCs w:val="24"/>
      <w:lang w:val="ru-RU" w:eastAsia="ru-RU" w:bidi="ar-SA"/>
    </w:rPr>
  </w:style>
  <w:style w:type="paragraph" w:customStyle="1" w:styleId="ab">
    <w:name w:val="Похожие сообщения источник и дата"/>
    <w:basedOn w:val="10"/>
    <w:link w:val="Char4"/>
    <w:autoRedefine/>
    <w:rsid w:val="00A0290C"/>
  </w:style>
  <w:style w:type="paragraph" w:customStyle="1" w:styleId="10">
    <w:name w:val="Похожие сообщения источник и дата1"/>
    <w:basedOn w:val="a5"/>
    <w:link w:val="1CharChar"/>
    <w:autoRedefine/>
    <w:rsid w:val="00A0290C"/>
    <w:pPr>
      <w:jc w:val="left"/>
    </w:pPr>
    <w:rPr>
      <w:sz w:val="16"/>
    </w:rPr>
  </w:style>
  <w:style w:type="character" w:customStyle="1" w:styleId="1CharChar">
    <w:name w:val="Похожие сообщения источник и дата1 Char Char"/>
    <w:link w:val="10"/>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b"/>
    <w:rsid w:val="00A0290C"/>
    <w:rPr>
      <w:rFonts w:ascii="Arial" w:eastAsia="Verdana" w:hAnsi="Arial"/>
      <w:b/>
      <w:bCs/>
      <w:color w:val="808080"/>
      <w:sz w:val="16"/>
    </w:rPr>
  </w:style>
  <w:style w:type="character" w:customStyle="1" w:styleId="BalloonTextChar">
    <w:name w:val="Balloon Text Char"/>
    <w:link w:val="BalloonText"/>
    <w:rsid w:val="00A0290C"/>
    <w:rPr>
      <w:rFonts w:ascii="Tahoma" w:hAnsi="Tahoma" w:cs="Tahoma"/>
      <w:sz w:val="16"/>
      <w:szCs w:val="16"/>
    </w:rPr>
  </w:style>
  <w:style w:type="paragraph" w:styleId="BalloonText">
    <w:name w:val="Balloon Text"/>
    <w:basedOn w:val="Normal"/>
    <w:link w:val="BalloonTextChar"/>
    <w:rsid w:val="00A0290C"/>
    <w:pPr>
      <w:spacing w:after="0" w:line="360" w:lineRule="auto"/>
      <w:ind w:left="1440"/>
      <w:jc w:val="left"/>
    </w:pPr>
    <w:rPr>
      <w:rFonts w:ascii="Tahoma" w:hAnsi="Tahoma"/>
      <w:sz w:val="16"/>
      <w:szCs w:val="16"/>
    </w:rPr>
  </w:style>
  <w:style w:type="paragraph" w:customStyle="1" w:styleId="ac">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3"/>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Subtitle">
    <w:name w:val="Subtitle"/>
    <w:basedOn w:val="Normal"/>
    <w:next w:val="Normal"/>
    <w:link w:val="SubtitleChar"/>
    <w:qFormat/>
    <w:rsid w:val="00A0290C"/>
    <w:pPr>
      <w:spacing w:after="60"/>
      <w:jc w:val="center"/>
      <w:outlineLvl w:val="1"/>
    </w:pPr>
    <w:rPr>
      <w:rFonts w:ascii="Cambria" w:hAnsi="Cambria"/>
    </w:rPr>
  </w:style>
  <w:style w:type="character" w:customStyle="1" w:styleId="SubtitleChar">
    <w:name w:val="Subtitle Char"/>
    <w:link w:val="Subtitle"/>
    <w:rsid w:val="00A0290C"/>
    <w:rPr>
      <w:rFonts w:ascii="Cambria" w:hAnsi="Cambria"/>
      <w:sz w:val="24"/>
      <w:szCs w:val="24"/>
    </w:rPr>
  </w:style>
  <w:style w:type="paragraph" w:customStyle="1" w:styleId="251">
    <w:name w:val="Стиль Заголовок раздела + Узор: Нет (Серый 25%)1"/>
    <w:basedOn w:val="a7"/>
    <w:next w:val="Normal"/>
    <w:rsid w:val="009D66A1"/>
    <w:pPr>
      <w:pageBreakBefore/>
    </w:pPr>
    <w:rPr>
      <w:shd w:val="clear" w:color="auto" w:fill="C0C0C0"/>
    </w:rPr>
  </w:style>
  <w:style w:type="paragraph" w:styleId="TOC6">
    <w:name w:val="toc 6"/>
    <w:basedOn w:val="Normal"/>
    <w:next w:val="Normal"/>
    <w:autoRedefine/>
    <w:uiPriority w:val="39"/>
    <w:unhideWhenUsed/>
    <w:rsid w:val="0010169E"/>
    <w:pPr>
      <w:spacing w:after="100" w:line="259" w:lineRule="auto"/>
      <w:ind w:left="1100"/>
      <w:jc w:val="left"/>
    </w:pPr>
    <w:rPr>
      <w:rFonts w:ascii="Calibri" w:hAnsi="Calibri"/>
      <w:sz w:val="22"/>
      <w:szCs w:val="22"/>
    </w:rPr>
  </w:style>
  <w:style w:type="paragraph" w:styleId="TOC7">
    <w:name w:val="toc 7"/>
    <w:basedOn w:val="Normal"/>
    <w:next w:val="Normal"/>
    <w:autoRedefine/>
    <w:uiPriority w:val="39"/>
    <w:unhideWhenUsed/>
    <w:rsid w:val="0010169E"/>
    <w:pPr>
      <w:spacing w:after="100" w:line="259" w:lineRule="auto"/>
      <w:ind w:left="1320"/>
      <w:jc w:val="left"/>
    </w:pPr>
    <w:rPr>
      <w:rFonts w:ascii="Calibri" w:hAnsi="Calibri"/>
      <w:sz w:val="22"/>
      <w:szCs w:val="22"/>
    </w:rPr>
  </w:style>
  <w:style w:type="paragraph" w:styleId="TOC8">
    <w:name w:val="toc 8"/>
    <w:basedOn w:val="Normal"/>
    <w:next w:val="Normal"/>
    <w:autoRedefine/>
    <w:uiPriority w:val="39"/>
    <w:unhideWhenUsed/>
    <w:rsid w:val="0010169E"/>
    <w:pPr>
      <w:spacing w:after="100" w:line="259" w:lineRule="auto"/>
      <w:ind w:left="1540"/>
      <w:jc w:val="left"/>
    </w:pPr>
    <w:rPr>
      <w:rFonts w:ascii="Calibri" w:hAnsi="Calibri"/>
      <w:sz w:val="22"/>
      <w:szCs w:val="22"/>
    </w:rPr>
  </w:style>
  <w:style w:type="paragraph" w:styleId="TOC9">
    <w:name w:val="toc 9"/>
    <w:basedOn w:val="Normal"/>
    <w:next w:val="Normal"/>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Normal"/>
    <w:rsid w:val="00E1422B"/>
    <w:pPr>
      <w:spacing w:before="105" w:after="105"/>
      <w:jc w:val="left"/>
    </w:pPr>
    <w:rPr>
      <w:rFonts w:ascii="Arial" w:hAnsi="Arial" w:cs="Arial"/>
      <w:color w:val="999999"/>
      <w:sz w:val="21"/>
      <w:szCs w:val="21"/>
    </w:rPr>
  </w:style>
  <w:style w:type="paragraph" w:customStyle="1" w:styleId="doubcontent">
    <w:name w:val="doubcontent"/>
    <w:basedOn w:val="Normal"/>
    <w:rsid w:val="0009547A"/>
    <w:pPr>
      <w:spacing w:before="150" w:after="150"/>
      <w:jc w:val="left"/>
    </w:pPr>
    <w:rPr>
      <w:rFonts w:ascii="Arial" w:hAnsi="Arial" w:cs="Arial"/>
      <w:color w:val="000000"/>
      <w:sz w:val="15"/>
      <w:szCs w:val="15"/>
    </w:rPr>
  </w:style>
  <w:style w:type="character" w:customStyle="1" w:styleId="doubsourcename">
    <w:name w:val="doubsourcename"/>
    <w:basedOn w:val="DefaultParagraphFont"/>
    <w:rsid w:val="0009547A"/>
  </w:style>
  <w:style w:type="character" w:customStyle="1" w:styleId="doubdocumentdate">
    <w:name w:val="doubdocumentdate"/>
    <w:basedOn w:val="DefaultParagraphFont"/>
    <w:rsid w:val="0009547A"/>
  </w:style>
  <w:style w:type="character" w:customStyle="1" w:styleId="doubheader1">
    <w:name w:val="doubheader1"/>
    <w:rsid w:val="0009547A"/>
    <w:rPr>
      <w:b/>
      <w:bCs/>
      <w:sz w:val="17"/>
      <w:szCs w:val="17"/>
    </w:rPr>
  </w:style>
  <w:style w:type="character" w:styleId="FollowedHyperlink">
    <w:name w:val="FollowedHyperlink"/>
    <w:rsid w:val="001B6274"/>
    <w:rPr>
      <w:color w:val="800080"/>
      <w:u w:val="single"/>
    </w:rPr>
  </w:style>
  <w:style w:type="character" w:customStyle="1" w:styleId="apple-converted-space">
    <w:name w:val="apple-converted-space"/>
    <w:rsid w:val="00511617"/>
  </w:style>
  <w:style w:type="character" w:styleId="UnresolvedMention">
    <w:name w:val="Unresolved Mention"/>
    <w:uiPriority w:val="99"/>
    <w:semiHidden/>
    <w:unhideWhenUsed/>
    <w:rsid w:val="002B3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52512215">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13460434">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104379905">
      <w:bodyDiv w:val="1"/>
      <w:marLeft w:val="0"/>
      <w:marRight w:val="0"/>
      <w:marTop w:val="0"/>
      <w:marBottom w:val="0"/>
      <w:divBdr>
        <w:top w:val="none" w:sz="0" w:space="0" w:color="auto"/>
        <w:left w:val="none" w:sz="0" w:space="0" w:color="auto"/>
        <w:bottom w:val="none" w:sz="0" w:space="0" w:color="auto"/>
        <w:right w:val="none" w:sz="0" w:space="0" w:color="auto"/>
      </w:divBdr>
      <w:divsChild>
        <w:div w:id="1069962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zeta.ru/business/news/2025/08/08/26450066.shtml" TargetMode="External"/><Relationship Id="rId18" Type="http://schemas.openxmlformats.org/officeDocument/2006/relationships/hyperlink" Target="https://blagoveshensk.bezformata.com/listnews/pds-i/149427791/" TargetMode="External"/><Relationship Id="rId26" Type="http://schemas.openxmlformats.org/officeDocument/2006/relationships/hyperlink" Target="https://aif.ru/money/mymoney/spisok-opredelen-komu-podnimut-zarplaty-i-pensii-etoy-osenyu" TargetMode="External"/><Relationship Id="rId39" Type="http://schemas.openxmlformats.org/officeDocument/2006/relationships/footer" Target="footer1.xml"/><Relationship Id="rId21" Type="http://schemas.openxmlformats.org/officeDocument/2006/relationships/hyperlink" Target="https://senatinform.ru/news/razmer_budushchey_pensii_po_starosti_mozhno_uznat_samostoyatelno/" TargetMode="External"/><Relationship Id="rId34" Type="http://schemas.openxmlformats.org/officeDocument/2006/relationships/hyperlink" Target="https://bcs-express.ru/novosti-i-analitika/pensionnye-fondy-skupaiut-bitkoin"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herzen.spb.ru/sotrudnikam/pds/" TargetMode="External"/><Relationship Id="rId20" Type="http://schemas.openxmlformats.org/officeDocument/2006/relationships/hyperlink" Target="https://russian.rt.com/russia/news/1517635-senator-epifanova-lgoty-dachniki" TargetMode="External"/><Relationship Id="rId29" Type="http://schemas.openxmlformats.org/officeDocument/2006/relationships/hyperlink" Target="https://www.globalmsk.ru/news/id/75708"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80613" TargetMode="External"/><Relationship Id="rId24" Type="http://schemas.openxmlformats.org/officeDocument/2006/relationships/hyperlink" Target="https://rossaprimavera.ru/news/d7757946" TargetMode="External"/><Relationship Id="rId32" Type="http://schemas.openxmlformats.org/officeDocument/2006/relationships/hyperlink" Target="https://www.caravan.kz/analytics/pensionnye-nakoplenija-tajut-kuda-uhodjat-milliardy-kazahstancev/" TargetMode="External"/><Relationship Id="rId37" Type="http://schemas.openxmlformats.org/officeDocument/2006/relationships/hyperlink" Target="https://www.kommersant.ru/doc/7943522"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onsultant.ru/legalnews/29193/" TargetMode="External"/><Relationship Id="rId23" Type="http://schemas.openxmlformats.org/officeDocument/2006/relationships/hyperlink" Target="https://ria-time.ru/news/c-avgusta-rabotayushih-pensionerov-zhdet-pribavka-k-pensii" TargetMode="External"/><Relationship Id="rId28" Type="http://schemas.openxmlformats.org/officeDocument/2006/relationships/hyperlink" Target="https://primpress.ru/article/125394" TargetMode="External"/><Relationship Id="rId36" Type="http://schemas.openxmlformats.org/officeDocument/2006/relationships/hyperlink" Target="https://pervoe.online/news/student-v-mire/55663-vvs_ssha_dosrochno_uvolnyayushchikhsya_transgendernykh_voennosluzhashchikh_lishat_pensiy/" TargetMode="External"/><Relationship Id="rId10" Type="http://schemas.openxmlformats.org/officeDocument/2006/relationships/hyperlink" Target="http://ekogradmoscow.ru//sreda/sotsialnaja-ekologija/ob-jom-aktivov-npf-evolyutsiya-za-pervoe-polugodie-2025-goda-sostavil-455-mlrd-rublej" TargetMode="External"/><Relationship Id="rId19" Type="http://schemas.openxmlformats.org/officeDocument/2006/relationships/hyperlink" Target="https://yamal-news.ru/society/2025/08/07/23322.html" TargetMode="External"/><Relationship Id="rId31" Type="http://schemas.openxmlformats.org/officeDocument/2006/relationships/hyperlink" Target="https://iz.ru/1932874/2025-08-07/chto-delat-esli-po-obligatciiam-obiavlen-defolt-razbor" TargetMode="External"/><Relationship Id="rId4" Type="http://schemas.openxmlformats.org/officeDocument/2006/relationships/webSettings" Target="webSettings.xml"/><Relationship Id="rId9" Type="http://schemas.openxmlformats.org/officeDocument/2006/relationships/hyperlink" Target="http://pbroker.ru/?p=80591" TargetMode="External"/><Relationship Id="rId14" Type="http://schemas.openxmlformats.org/officeDocument/2006/relationships/hyperlink" Target="https://www.finam.ru/publications/item/kopim-na-pensiyu-na-fondovom-rynke-kak-sobrat-portfel-20250807-1300/" TargetMode="External"/><Relationship Id="rId22" Type="http://schemas.openxmlformats.org/officeDocument/2006/relationships/hyperlink" Target="https://www.kommersant.ru/doc/7943021" TargetMode="External"/><Relationship Id="rId27" Type="http://schemas.openxmlformats.org/officeDocument/2006/relationships/hyperlink" Target="https://primpress.ru/article/125393" TargetMode="External"/><Relationship Id="rId30" Type="http://schemas.openxmlformats.org/officeDocument/2006/relationships/hyperlink" Target="https://www.kommersant.ru/doc/7942930" TargetMode="External"/><Relationship Id="rId35" Type="http://schemas.openxmlformats.org/officeDocument/2006/relationships/hyperlink" Target="https://www.sostav.ru/blogs/282926/65628" TargetMode="External"/><Relationship Id="rId8" Type="http://schemas.openxmlformats.org/officeDocument/2006/relationships/hyperlink" Target="http://pbroker.ru/?p=80589" TargetMode="External"/><Relationship Id="rId3" Type="http://schemas.openxmlformats.org/officeDocument/2006/relationships/settings" Target="settings.xml"/><Relationship Id="rId12" Type="http://schemas.openxmlformats.org/officeDocument/2006/relationships/hyperlink" Target="https://companies.rbc.ru/news/Q1HJj2f7FK/npf-sotsium-podderzhal-proekt-po-finansovoj-gramotnosti/" TargetMode="External"/><Relationship Id="rId17" Type="http://schemas.openxmlformats.org/officeDocument/2006/relationships/hyperlink" Target="https://rv-ryazan.ru/v-ryazanskoj-oblasti-rabotaet-programma-dolgosrochnyx-sberezhenij/" TargetMode="External"/><Relationship Id="rId25" Type="http://schemas.openxmlformats.org/officeDocument/2006/relationships/hyperlink" Target="https://pensnews.ru/news/16914" TargetMode="External"/><Relationship Id="rId33" Type="http://schemas.openxmlformats.org/officeDocument/2006/relationships/hyperlink" Target="https://cryptonews.net/ru/news/analytics/31393941/"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56</Pages>
  <Words>21505</Words>
  <Characters>122582</Characters>
  <Application>Microsoft Office Word</Application>
  <DocSecurity>0</DocSecurity>
  <Lines>1021</Lines>
  <Paragraphs>287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НАПФ</vt:lpstr>
      <vt:lpstr>НАПФ</vt:lpstr>
    </vt:vector>
  </TitlesOfParts>
  <Company>SPecialiST RePack</Company>
  <LinksUpToDate>false</LinksUpToDate>
  <CharactersWithSpaces>143800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Антон Каспаров</cp:lastModifiedBy>
  <cp:revision>25</cp:revision>
  <cp:lastPrinted>2009-04-02T10:14:00Z</cp:lastPrinted>
  <dcterms:created xsi:type="dcterms:W3CDTF">2025-07-30T15:15:00Z</dcterms:created>
  <dcterms:modified xsi:type="dcterms:W3CDTF">2025-08-08T04:07:00Z</dcterms:modified>
  <cp:category>НАПФ</cp:category>
  <cp:contentStatus>И-Консалтинг</cp:contentStatus>
</cp:coreProperties>
</file>